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A4" w:rsidRDefault="00DA50A4">
      <w:pPr>
        <w:rPr>
          <w:rFonts w:ascii="Arial" w:hAnsi="Arial" w:cs="Arial"/>
          <w:b/>
          <w:lang w:val="sr-Cyrl-CS"/>
        </w:rPr>
      </w:pPr>
    </w:p>
    <w:p w:rsidR="00890AD3" w:rsidRDefault="00890AD3">
      <w:pPr>
        <w:spacing w:after="0" w:line="240" w:lineRule="auto"/>
        <w:rPr>
          <w:rFonts w:ascii="Calibri" w:hAnsi="Calibri" w:cs="Calibri"/>
          <w:sz w:val="22"/>
          <w:szCs w:val="22"/>
          <w:lang w:val="sr-Cyrl-BA"/>
        </w:rPr>
      </w:pPr>
      <w:r>
        <w:rPr>
          <w:rFonts w:ascii="Calibri" w:hAnsi="Calibri" w:cs="Calibri"/>
          <w:sz w:val="22"/>
          <w:szCs w:val="22"/>
          <w:lang w:val="sr-Cyrl-BA"/>
        </w:rPr>
        <w:t>Број:</w:t>
      </w:r>
    </w:p>
    <w:p w:rsidR="00890AD3" w:rsidRDefault="00890AD3">
      <w:pPr>
        <w:spacing w:after="0" w:line="240" w:lineRule="auto"/>
        <w:rPr>
          <w:rFonts w:ascii="Calibri" w:hAnsi="Calibri" w:cs="Calibri"/>
          <w:sz w:val="22"/>
          <w:szCs w:val="22"/>
          <w:lang w:val="sr-Cyrl-BA"/>
        </w:rPr>
      </w:pPr>
      <w:r>
        <w:rPr>
          <w:rFonts w:ascii="Calibri" w:hAnsi="Calibri" w:cs="Calibri"/>
          <w:sz w:val="22"/>
          <w:szCs w:val="22"/>
          <w:lang w:val="sr-Cyrl-BA"/>
        </w:rPr>
        <w:t>Датум: 29.01.20201. године</w:t>
      </w:r>
    </w:p>
    <w:p w:rsidR="00890AD3" w:rsidRDefault="00890AD3">
      <w:pPr>
        <w:spacing w:after="0" w:line="240" w:lineRule="auto"/>
        <w:rPr>
          <w:rFonts w:ascii="Calibri" w:hAnsi="Calibri" w:cs="Calibri"/>
          <w:sz w:val="22"/>
          <w:szCs w:val="22"/>
          <w:lang w:val="sr-Cyrl-BA"/>
        </w:rPr>
      </w:pPr>
    </w:p>
    <w:p w:rsidR="00890AD3" w:rsidRDefault="00890AD3">
      <w:pPr>
        <w:spacing w:after="0" w:line="240" w:lineRule="auto"/>
        <w:rPr>
          <w:rFonts w:ascii="Calibri" w:hAnsi="Calibri" w:cs="Calibri"/>
          <w:sz w:val="22"/>
          <w:szCs w:val="22"/>
          <w:lang w:val="sr-Cyrl-BA"/>
        </w:rPr>
      </w:pPr>
    </w:p>
    <w:tbl>
      <w:tblPr>
        <w:tblW w:w="3449" w:type="dxa"/>
        <w:tblInd w:w="5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9"/>
      </w:tblGrid>
      <w:tr w:rsidR="00890AD3" w:rsidTr="00890AD3">
        <w:trPr>
          <w:trHeight w:val="1094"/>
        </w:trPr>
        <w:tc>
          <w:tcPr>
            <w:tcW w:w="3449" w:type="dxa"/>
          </w:tcPr>
          <w:p w:rsidR="00890AD3" w:rsidRDefault="00890AD3" w:rsidP="00890AD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sr-Cyrl-BA"/>
              </w:rPr>
            </w:pPr>
          </w:p>
          <w:p w:rsidR="00890AD3" w:rsidRPr="00890AD3" w:rsidRDefault="00890AD3" w:rsidP="00890AD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32"/>
                <w:szCs w:val="22"/>
                <w:lang w:val="sr-Cyrl-BA"/>
              </w:rPr>
            </w:pPr>
            <w:r w:rsidRPr="00890AD3"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>У</w:t>
            </w:r>
            <w:r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 xml:space="preserve"> </w:t>
            </w:r>
            <w:r w:rsidRPr="00890AD3"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>П</w:t>
            </w:r>
            <w:r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 xml:space="preserve"> </w:t>
            </w:r>
            <w:r w:rsidRPr="00890AD3"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>Р</w:t>
            </w:r>
            <w:r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 xml:space="preserve"> </w:t>
            </w:r>
            <w:r w:rsidRPr="00890AD3"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>А</w:t>
            </w:r>
            <w:r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 xml:space="preserve"> </w:t>
            </w:r>
            <w:r w:rsidRPr="00890AD3"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>В</w:t>
            </w:r>
            <w:r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 xml:space="preserve"> </w:t>
            </w:r>
            <w:r w:rsidRPr="00890AD3">
              <w:rPr>
                <w:rFonts w:ascii="Calibri" w:hAnsi="Calibri" w:cs="Calibri"/>
                <w:b/>
                <w:sz w:val="32"/>
                <w:szCs w:val="22"/>
                <w:lang w:val="sr-Cyrl-BA"/>
              </w:rPr>
              <w:t>А</w:t>
            </w:r>
          </w:p>
          <w:p w:rsidR="00890AD3" w:rsidRPr="00890AD3" w:rsidRDefault="00890AD3" w:rsidP="00890AD3">
            <w:pPr>
              <w:spacing w:after="0" w:line="240" w:lineRule="auto"/>
              <w:rPr>
                <w:rFonts w:ascii="Calibri" w:hAnsi="Calibri" w:cs="Calibri"/>
                <w:i/>
                <w:sz w:val="32"/>
                <w:szCs w:val="22"/>
                <w:lang w:val="sr-Cyrl-BA"/>
              </w:rPr>
            </w:pPr>
            <w:r w:rsidRPr="00890AD3">
              <w:rPr>
                <w:rFonts w:ascii="Calibri" w:hAnsi="Calibri" w:cs="Calibri"/>
                <w:b/>
                <w:i/>
                <w:sz w:val="32"/>
                <w:szCs w:val="22"/>
                <w:lang w:val="sr-Cyrl-BA"/>
              </w:rPr>
              <w:t xml:space="preserve">                 </w:t>
            </w:r>
            <w:r w:rsidRPr="00890AD3">
              <w:rPr>
                <w:rFonts w:ascii="Calibri" w:hAnsi="Calibri" w:cs="Calibri"/>
                <w:i/>
                <w:sz w:val="32"/>
                <w:szCs w:val="22"/>
                <w:lang w:val="sr-Cyrl-BA"/>
              </w:rPr>
              <w:t>овдје</w:t>
            </w:r>
          </w:p>
          <w:p w:rsidR="00890AD3" w:rsidRDefault="00890AD3" w:rsidP="00890AD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  <w:lang w:val="sr-Cyrl-BA"/>
              </w:rPr>
            </w:pPr>
          </w:p>
        </w:tc>
      </w:tr>
    </w:tbl>
    <w:p w:rsidR="00890AD3" w:rsidRDefault="00890AD3">
      <w:pPr>
        <w:spacing w:after="0" w:line="240" w:lineRule="auto"/>
        <w:rPr>
          <w:rFonts w:ascii="Calibri" w:hAnsi="Calibri" w:cs="Calibri"/>
          <w:sz w:val="22"/>
          <w:szCs w:val="22"/>
          <w:lang w:val="sr-Cyrl-BA"/>
        </w:rPr>
      </w:pPr>
    </w:p>
    <w:p w:rsidR="00890AD3" w:rsidRDefault="00890AD3">
      <w:pPr>
        <w:spacing w:after="0" w:line="240" w:lineRule="auto"/>
        <w:rPr>
          <w:rFonts w:ascii="Calibri" w:hAnsi="Calibri" w:cs="Calibri"/>
          <w:sz w:val="22"/>
          <w:szCs w:val="22"/>
          <w:lang w:val="sr-Cyrl-BA"/>
        </w:rPr>
      </w:pPr>
    </w:p>
    <w:p w:rsidR="00890AD3" w:rsidRPr="00890AD3" w:rsidRDefault="00890AD3">
      <w:pPr>
        <w:spacing w:after="0" w:line="240" w:lineRule="auto"/>
        <w:rPr>
          <w:rFonts w:ascii="Calibri" w:hAnsi="Calibri" w:cs="Calibri"/>
          <w:b/>
          <w:sz w:val="28"/>
          <w:szCs w:val="22"/>
          <w:lang w:val="sr-Cyrl-BA"/>
        </w:rPr>
      </w:pPr>
      <w:r w:rsidRPr="00890AD3">
        <w:rPr>
          <w:rFonts w:ascii="Calibri" w:hAnsi="Calibri" w:cs="Calibri"/>
          <w:sz w:val="28"/>
          <w:szCs w:val="22"/>
          <w:lang w:val="sr-Cyrl-BA"/>
        </w:rPr>
        <w:t xml:space="preserve">ПРЕДМЕТ: </w:t>
      </w:r>
      <w:r>
        <w:rPr>
          <w:rFonts w:ascii="Calibri" w:hAnsi="Calibri" w:cs="Calibri"/>
          <w:b/>
          <w:sz w:val="28"/>
          <w:szCs w:val="22"/>
          <w:lang w:val="sr-Cyrl-BA"/>
        </w:rPr>
        <w:t>Нацрт п</w:t>
      </w:r>
      <w:r w:rsidRPr="00890AD3">
        <w:rPr>
          <w:rFonts w:ascii="Calibri" w:hAnsi="Calibri" w:cs="Calibri"/>
          <w:b/>
          <w:sz w:val="28"/>
          <w:szCs w:val="22"/>
          <w:lang w:val="sr-Cyrl-BA"/>
        </w:rPr>
        <w:t>лана активности на отк</w:t>
      </w:r>
      <w:r w:rsidR="00417CAB">
        <w:rPr>
          <w:rFonts w:ascii="Calibri" w:hAnsi="Calibri" w:cs="Calibri"/>
          <w:b/>
          <w:sz w:val="28"/>
          <w:szCs w:val="22"/>
          <w:lang w:val="sr-Cyrl-BA"/>
        </w:rPr>
        <w:t>лањању неправилности по налазу Г</w:t>
      </w:r>
      <w:r w:rsidRPr="00890AD3">
        <w:rPr>
          <w:rFonts w:ascii="Calibri" w:hAnsi="Calibri" w:cs="Calibri"/>
          <w:b/>
          <w:sz w:val="28"/>
          <w:szCs w:val="22"/>
          <w:lang w:val="sr-Cyrl-BA"/>
        </w:rPr>
        <w:t>лавне службе за ревизију јавног сектора,</w:t>
      </w:r>
    </w:p>
    <w:p w:rsidR="00890AD3" w:rsidRDefault="00890AD3">
      <w:pPr>
        <w:spacing w:after="0" w:line="240" w:lineRule="auto"/>
        <w:rPr>
          <w:rFonts w:ascii="Calibri" w:hAnsi="Calibri" w:cs="Calibri"/>
          <w:b/>
          <w:sz w:val="28"/>
          <w:szCs w:val="22"/>
          <w:lang w:val="sr-Cyrl-BA"/>
        </w:rPr>
      </w:pPr>
    </w:p>
    <w:p w:rsidR="00890AD3" w:rsidRDefault="00890AD3">
      <w:pPr>
        <w:spacing w:after="0" w:line="240" w:lineRule="auto"/>
        <w:rPr>
          <w:rFonts w:ascii="Calibri" w:hAnsi="Calibri" w:cs="Calibri"/>
          <w:b/>
          <w:sz w:val="28"/>
          <w:szCs w:val="22"/>
          <w:lang w:val="sr-Cyrl-BA"/>
        </w:rPr>
      </w:pPr>
    </w:p>
    <w:p w:rsidR="00890AD3" w:rsidRDefault="00890AD3">
      <w:pPr>
        <w:spacing w:after="0" w:line="240" w:lineRule="auto"/>
        <w:rPr>
          <w:rFonts w:ascii="Calibri" w:hAnsi="Calibri" w:cs="Calibri"/>
          <w:szCs w:val="22"/>
          <w:lang w:val="sr-Cyrl-BA"/>
        </w:rPr>
      </w:pPr>
      <w:r w:rsidRPr="00890AD3">
        <w:rPr>
          <w:rFonts w:ascii="Calibri" w:hAnsi="Calibri" w:cs="Calibri"/>
          <w:szCs w:val="22"/>
          <w:lang w:val="sr-Cyrl-BA"/>
        </w:rPr>
        <w:t>Поштовани,</w:t>
      </w:r>
    </w:p>
    <w:p w:rsidR="00890AD3" w:rsidRDefault="00890AD3">
      <w:pPr>
        <w:spacing w:after="0" w:line="240" w:lineRule="auto"/>
        <w:rPr>
          <w:rFonts w:ascii="Calibri" w:hAnsi="Calibri" w:cs="Calibri"/>
          <w:szCs w:val="22"/>
          <w:lang w:val="sr-Cyrl-BA"/>
        </w:rPr>
      </w:pPr>
    </w:p>
    <w:p w:rsidR="00417CAB" w:rsidRDefault="00890AD3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  <w:r>
        <w:rPr>
          <w:rFonts w:ascii="Calibri" w:hAnsi="Calibri" w:cs="Calibri"/>
          <w:szCs w:val="22"/>
          <w:lang w:val="sr-Cyrl-BA"/>
        </w:rPr>
        <w:t>Како би испоштовали законом з</w:t>
      </w:r>
      <w:r w:rsidR="00417CAB">
        <w:rPr>
          <w:rFonts w:ascii="Calibri" w:hAnsi="Calibri" w:cs="Calibri"/>
          <w:szCs w:val="22"/>
          <w:lang w:val="sr-Cyrl-BA"/>
        </w:rPr>
        <w:t>адате рокове и извршили доставу Плана активности на отклањању неправилности по налазу Главне службе за ревизију јавног сектора, на адресу Главне службе</w:t>
      </w:r>
      <w:r w:rsidR="00F538F7">
        <w:rPr>
          <w:rFonts w:ascii="Calibri" w:hAnsi="Calibri" w:cs="Calibri"/>
          <w:szCs w:val="22"/>
          <w:lang w:val="sr-Cyrl-BA"/>
        </w:rPr>
        <w:t xml:space="preserve"> за ревизију јавног сектора</w:t>
      </w:r>
      <w:r w:rsidR="00417CAB">
        <w:rPr>
          <w:rFonts w:ascii="Calibri" w:hAnsi="Calibri" w:cs="Calibri"/>
          <w:szCs w:val="22"/>
          <w:lang w:val="sr-Cyrl-BA"/>
        </w:rPr>
        <w:t xml:space="preserve">, Министарства финансија и Одбора за привреду и финансије, потребно је да у форми приједлога документ у прилогу прослиједите у процедуру усвајања. </w:t>
      </w:r>
    </w:p>
    <w:p w:rsidR="00417CAB" w:rsidRDefault="00417CAB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  <w:r>
        <w:rPr>
          <w:rFonts w:ascii="Calibri" w:hAnsi="Calibri" w:cs="Calibri"/>
          <w:szCs w:val="22"/>
          <w:lang w:val="sr-Cyrl-BA"/>
        </w:rPr>
        <w:t>Усвајање д</w:t>
      </w:r>
      <w:r w:rsidR="00417CAB">
        <w:rPr>
          <w:rFonts w:ascii="Calibri" w:hAnsi="Calibri" w:cs="Calibri"/>
          <w:szCs w:val="22"/>
          <w:lang w:val="sr-Cyrl-BA"/>
        </w:rPr>
        <w:t>окумент</w:t>
      </w:r>
      <w:r>
        <w:rPr>
          <w:rFonts w:ascii="Calibri" w:hAnsi="Calibri" w:cs="Calibri"/>
          <w:szCs w:val="22"/>
          <w:lang w:val="sr-Cyrl-BA"/>
        </w:rPr>
        <w:t>а</w:t>
      </w:r>
      <w:r w:rsidR="00417CAB">
        <w:rPr>
          <w:rFonts w:ascii="Calibri" w:hAnsi="Calibri" w:cs="Calibri"/>
          <w:szCs w:val="22"/>
          <w:lang w:val="sr-Cyrl-BA"/>
        </w:rPr>
        <w:t xml:space="preserve"> из прилога као и Извјештај</w:t>
      </w:r>
      <w:r>
        <w:rPr>
          <w:rFonts w:ascii="Calibri" w:hAnsi="Calibri" w:cs="Calibri"/>
          <w:szCs w:val="22"/>
          <w:lang w:val="sr-Cyrl-BA"/>
        </w:rPr>
        <w:t>а</w:t>
      </w:r>
      <w:r w:rsidR="00417CAB">
        <w:rPr>
          <w:rFonts w:ascii="Calibri" w:hAnsi="Calibri" w:cs="Calibri"/>
          <w:szCs w:val="22"/>
          <w:lang w:val="sr-Cyrl-BA"/>
        </w:rPr>
        <w:t xml:space="preserve"> о порведеној финансијској ревизији ЗЕДП ''Електро-Бијељина'' а.д. Бијељина за период 01.01 -</w:t>
      </w:r>
      <w:r>
        <w:rPr>
          <w:rFonts w:ascii="Calibri" w:hAnsi="Calibri" w:cs="Calibri"/>
          <w:szCs w:val="22"/>
          <w:lang w:val="sr-Cyrl-BA"/>
        </w:rPr>
        <w:t xml:space="preserve"> 3</w:t>
      </w:r>
      <w:r w:rsidR="00417CAB">
        <w:rPr>
          <w:rFonts w:ascii="Calibri" w:hAnsi="Calibri" w:cs="Calibri"/>
          <w:szCs w:val="22"/>
          <w:lang w:val="sr-Cyrl-BA"/>
        </w:rPr>
        <w:t>1.12.2019. године</w:t>
      </w:r>
      <w:r>
        <w:rPr>
          <w:rFonts w:ascii="Calibri" w:hAnsi="Calibri" w:cs="Calibri"/>
          <w:szCs w:val="22"/>
          <w:lang w:val="sr-Cyrl-BA"/>
        </w:rPr>
        <w:t>, у складу са Статутом, у надлежности је Скупштине акционара.</w:t>
      </w: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  <w:r>
        <w:rPr>
          <w:rFonts w:ascii="Calibri" w:hAnsi="Calibri" w:cs="Calibri"/>
          <w:szCs w:val="22"/>
          <w:lang w:val="sr-Cyrl-BA"/>
        </w:rPr>
        <w:t>С поштовањем,</w:t>
      </w: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</w:p>
    <w:p w:rsidR="00F538F7" w:rsidRDefault="00F538F7" w:rsidP="00F538F7">
      <w:pPr>
        <w:spacing w:after="0" w:line="240" w:lineRule="auto"/>
        <w:ind w:left="5760"/>
        <w:jc w:val="both"/>
        <w:rPr>
          <w:rFonts w:ascii="Calibri" w:hAnsi="Calibri" w:cs="Calibri"/>
          <w:szCs w:val="22"/>
          <w:lang w:val="sr-Cyrl-BA"/>
        </w:rPr>
      </w:pPr>
      <w:r>
        <w:rPr>
          <w:rFonts w:ascii="Calibri" w:hAnsi="Calibri" w:cs="Calibri"/>
          <w:szCs w:val="22"/>
          <w:lang w:val="sr-Cyrl-BA"/>
        </w:rPr>
        <w:t xml:space="preserve">   Татјана Гајић</w:t>
      </w: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  <w:t>Руководилац службе рачуноводства</w:t>
      </w: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</w:r>
      <w:r>
        <w:rPr>
          <w:rFonts w:ascii="Calibri" w:hAnsi="Calibri" w:cs="Calibri"/>
          <w:szCs w:val="22"/>
          <w:lang w:val="sr-Cyrl-BA"/>
        </w:rPr>
        <w:tab/>
        <w:t>..............................................................</w:t>
      </w: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</w:p>
    <w:p w:rsid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Cyrl-BA"/>
        </w:rPr>
      </w:pPr>
    </w:p>
    <w:p w:rsidR="00F538F7" w:rsidRPr="00F538F7" w:rsidRDefault="00F538F7" w:rsidP="00417CAB">
      <w:pPr>
        <w:spacing w:after="0" w:line="240" w:lineRule="auto"/>
        <w:jc w:val="both"/>
        <w:rPr>
          <w:rFonts w:ascii="Calibri" w:hAnsi="Calibri" w:cs="Calibri"/>
          <w:szCs w:val="22"/>
          <w:lang w:val="sr-Latn-BA"/>
        </w:rPr>
      </w:pPr>
    </w:p>
    <w:p w:rsidR="00890AD3" w:rsidRDefault="00890AD3">
      <w:pPr>
        <w:spacing w:after="0" w:line="240" w:lineRule="auto"/>
        <w:rPr>
          <w:rFonts w:ascii="Calibri" w:hAnsi="Calibri" w:cs="Calibri"/>
          <w:szCs w:val="22"/>
          <w:lang w:val="sr-Cyrl-BA"/>
        </w:rPr>
      </w:pPr>
    </w:p>
    <w:p w:rsidR="00890AD3" w:rsidRDefault="00890AD3">
      <w:pPr>
        <w:spacing w:after="0" w:line="240" w:lineRule="auto"/>
        <w:rPr>
          <w:rFonts w:ascii="Calibri" w:hAnsi="Calibri" w:cs="Calibri"/>
          <w:szCs w:val="22"/>
          <w:lang w:val="sr-Cyrl-BA"/>
        </w:rPr>
      </w:pPr>
    </w:p>
    <w:p w:rsidR="00890AD3" w:rsidRPr="00890AD3" w:rsidRDefault="00890AD3">
      <w:pPr>
        <w:spacing w:after="0" w:line="240" w:lineRule="auto"/>
        <w:rPr>
          <w:rFonts w:ascii="Calibri" w:hAnsi="Calibri" w:cs="Calibri"/>
          <w:szCs w:val="22"/>
          <w:lang w:val="sr-Cyrl-BA"/>
        </w:rPr>
      </w:pPr>
    </w:p>
    <w:p w:rsidR="00890AD3" w:rsidRDefault="00890AD3">
      <w:pPr>
        <w:spacing w:after="0" w:line="240" w:lineRule="auto"/>
        <w:rPr>
          <w:rFonts w:ascii="Calibri" w:hAnsi="Calibri" w:cs="Calibri"/>
          <w:b/>
          <w:sz w:val="28"/>
          <w:szCs w:val="22"/>
          <w:lang w:val="sr-Cyrl-BA"/>
        </w:rPr>
      </w:pPr>
    </w:p>
    <w:p w:rsidR="00890AD3" w:rsidRPr="00890AD3" w:rsidRDefault="00890AD3">
      <w:pPr>
        <w:spacing w:after="0" w:line="240" w:lineRule="auto"/>
        <w:rPr>
          <w:rFonts w:ascii="Calibri" w:hAnsi="Calibri" w:cs="Calibri"/>
          <w:b/>
          <w:sz w:val="28"/>
          <w:szCs w:val="22"/>
          <w:lang w:val="sr-Cyrl-BA"/>
        </w:rPr>
      </w:pPr>
    </w:p>
    <w:p w:rsidR="00890AD3" w:rsidRPr="00890AD3" w:rsidRDefault="00890AD3">
      <w:pPr>
        <w:spacing w:after="0" w:line="240" w:lineRule="auto"/>
        <w:rPr>
          <w:rFonts w:ascii="Calibri" w:hAnsi="Calibri" w:cs="Calibri"/>
          <w:sz w:val="22"/>
          <w:szCs w:val="22"/>
          <w:lang w:val="sr-Cyrl-BA"/>
        </w:rPr>
      </w:pPr>
      <w:r>
        <w:rPr>
          <w:rFonts w:ascii="Calibri" w:hAnsi="Calibri" w:cs="Calibri"/>
          <w:sz w:val="22"/>
          <w:szCs w:val="22"/>
          <w:lang w:val="sr-Cyrl-BA"/>
        </w:rPr>
        <w:tab/>
      </w:r>
      <w:r>
        <w:rPr>
          <w:rFonts w:ascii="Calibri" w:hAnsi="Calibri" w:cs="Calibri"/>
          <w:sz w:val="22"/>
          <w:szCs w:val="22"/>
          <w:lang w:val="sr-Cyrl-BA"/>
        </w:rPr>
        <w:tab/>
      </w:r>
      <w:r>
        <w:rPr>
          <w:rFonts w:ascii="Calibri" w:hAnsi="Calibri" w:cs="Calibri"/>
          <w:sz w:val="22"/>
          <w:szCs w:val="22"/>
          <w:lang w:val="sr-Cyrl-BA"/>
        </w:rPr>
        <w:tab/>
      </w:r>
      <w:r>
        <w:rPr>
          <w:rFonts w:ascii="Calibri" w:hAnsi="Calibri" w:cs="Calibri"/>
          <w:sz w:val="22"/>
          <w:szCs w:val="22"/>
          <w:lang w:val="sr-Cyrl-BA"/>
        </w:rPr>
        <w:tab/>
      </w:r>
      <w:r>
        <w:rPr>
          <w:rFonts w:ascii="Calibri" w:hAnsi="Calibri" w:cs="Calibri"/>
          <w:sz w:val="22"/>
          <w:szCs w:val="22"/>
          <w:lang w:val="sr-Cyrl-BA"/>
        </w:rPr>
        <w:tab/>
      </w:r>
      <w:r>
        <w:rPr>
          <w:rFonts w:ascii="Calibri" w:hAnsi="Calibri" w:cs="Calibri"/>
          <w:sz w:val="22"/>
          <w:szCs w:val="22"/>
          <w:lang w:val="sr-Cyrl-BA"/>
        </w:rPr>
        <w:tab/>
      </w:r>
      <w:r>
        <w:rPr>
          <w:rFonts w:ascii="Calibri" w:hAnsi="Calibri" w:cs="Calibri"/>
          <w:sz w:val="22"/>
          <w:szCs w:val="22"/>
          <w:lang w:val="sr-Cyrl-BA"/>
        </w:rPr>
        <w:tab/>
      </w:r>
      <w:r>
        <w:rPr>
          <w:rFonts w:ascii="Calibri" w:hAnsi="Calibri" w:cs="Calibri"/>
          <w:sz w:val="22"/>
          <w:szCs w:val="22"/>
          <w:lang w:val="sr-Cyrl-BA"/>
        </w:rPr>
        <w:tab/>
      </w:r>
      <w:r>
        <w:rPr>
          <w:rFonts w:ascii="Calibri" w:hAnsi="Calibri" w:cs="Calibri"/>
          <w:sz w:val="22"/>
          <w:szCs w:val="22"/>
        </w:rPr>
        <w:br w:type="page"/>
      </w:r>
    </w:p>
    <w:p w:rsidR="00890AD3" w:rsidRDefault="00890AD3" w:rsidP="00890AD3">
      <w:pPr>
        <w:spacing w:after="0"/>
        <w:rPr>
          <w:rFonts w:ascii="Calibri" w:hAnsi="Calibri" w:cs="Calibri"/>
          <w:sz w:val="22"/>
          <w:szCs w:val="22"/>
        </w:rPr>
      </w:pPr>
    </w:p>
    <w:p w:rsidR="00A178F8" w:rsidRDefault="00A178F8" w:rsidP="00890AD3">
      <w:pPr>
        <w:spacing w:after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Број</w:t>
      </w:r>
      <w:proofErr w:type="spellEnd"/>
      <w:r>
        <w:rPr>
          <w:rFonts w:ascii="Calibri" w:hAnsi="Calibri" w:cs="Calibri"/>
          <w:sz w:val="22"/>
          <w:szCs w:val="22"/>
        </w:rPr>
        <w:t>:</w:t>
      </w:r>
    </w:p>
    <w:p w:rsidR="00A178F8" w:rsidRDefault="00A178F8" w:rsidP="00A178F8">
      <w:pPr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>Дана:</w:t>
      </w:r>
    </w:p>
    <w:p w:rsidR="00A178F8" w:rsidRPr="00115EA1" w:rsidRDefault="00A178F8" w:rsidP="00A178F8">
      <w:pPr>
        <w:rPr>
          <w:rFonts w:ascii="Calibri" w:hAnsi="Calibri" w:cs="Calibri"/>
          <w:sz w:val="22"/>
          <w:szCs w:val="22"/>
          <w:lang w:val="sr-Cyrl-CS"/>
        </w:rPr>
      </w:pPr>
    </w:p>
    <w:p w:rsidR="00A178F8" w:rsidRPr="00BE0CB7" w:rsidRDefault="00A178F8" w:rsidP="00A178F8">
      <w:pPr>
        <w:pStyle w:val="BodyText2"/>
        <w:rPr>
          <w:rFonts w:ascii="Calibri" w:hAnsi="Calibri" w:cs="Calibri"/>
          <w:color w:val="000000"/>
          <w:sz w:val="22"/>
          <w:szCs w:val="22"/>
        </w:rPr>
      </w:pPr>
      <w:r w:rsidRPr="00BE0CB7">
        <w:rPr>
          <w:rFonts w:ascii="Calibri" w:hAnsi="Calibri" w:cs="Calibri"/>
          <w:color w:val="000000"/>
          <w:sz w:val="22"/>
          <w:szCs w:val="22"/>
        </w:rPr>
        <w:t>П</w:t>
      </w:r>
      <w:r>
        <w:rPr>
          <w:rFonts w:ascii="Calibri" w:hAnsi="Calibri" w:cs="Calibri"/>
          <w:color w:val="000000"/>
          <w:sz w:val="22"/>
          <w:szCs w:val="22"/>
        </w:rPr>
        <w:t xml:space="preserve">ЛАН </w:t>
      </w:r>
      <w:r w:rsidRPr="00BE0CB7">
        <w:rPr>
          <w:rFonts w:ascii="Calibri" w:hAnsi="Calibri" w:cs="Calibri"/>
          <w:color w:val="000000"/>
          <w:sz w:val="22"/>
          <w:szCs w:val="22"/>
        </w:rPr>
        <w:t>АКТИВНОСТИ НА ОТКЛАЊАЊУ НЕПРАВИЛНОСТИ ПО НАЛАЗУ ГЛАВНЕ СЛУЖБЕ ЗА РЕВИЗИЈУ ЈАВНОГ СЕКТОРА РЕПУБЛИКЕ СРПСКЕ</w:t>
      </w:r>
    </w:p>
    <w:p w:rsidR="00A178F8" w:rsidRDefault="00A178F8" w:rsidP="00A178F8">
      <w:pPr>
        <w:rPr>
          <w:rFonts w:ascii="Calibri" w:hAnsi="Calibri" w:cs="Calibri"/>
          <w:sz w:val="22"/>
          <w:szCs w:val="22"/>
          <w:lang w:val="sr-Cyrl-CS"/>
        </w:rPr>
      </w:pPr>
    </w:p>
    <w:p w:rsidR="00A178F8" w:rsidRDefault="00A178F8" w:rsidP="00A178F8">
      <w:pPr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>На основу члана 21. став (3) Закона о ревизији јавног сектора Републике Српске (Службени гласник Републике Српске, број 98/05 и 20/14) достављамо вам План активности на отклањању неправилностои по налазу Главне службе за ревизију јавног сектора Републике Српске (у даљем тексту ''Главна служба'').</w:t>
      </w:r>
    </w:p>
    <w:p w:rsidR="00A178F8" w:rsidRDefault="00A178F8" w:rsidP="00A178F8">
      <w:pPr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Наиме, напријед наведеним чланом је прописано: </w:t>
      </w:r>
    </w:p>
    <w:p w:rsidR="00A178F8" w:rsidRPr="00BE0CB7" w:rsidRDefault="00A178F8" w:rsidP="00A178F8">
      <w:pPr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>''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(3) </w:t>
      </w:r>
      <w:r>
        <w:rPr>
          <w:rFonts w:ascii="Calibri" w:hAnsi="Calibri" w:cs="Calibri"/>
          <w:sz w:val="22"/>
          <w:szCs w:val="22"/>
          <w:lang w:val="sr-Cyrl-CS"/>
        </w:rPr>
        <w:t>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року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од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60 </w:t>
      </w:r>
      <w:r>
        <w:rPr>
          <w:rFonts w:ascii="Calibri" w:hAnsi="Calibri" w:cs="Calibri"/>
          <w:sz w:val="22"/>
          <w:szCs w:val="22"/>
          <w:lang w:val="sr-Cyrl-CS"/>
        </w:rPr>
        <w:t>дана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од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пријема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ревизорског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извјештаја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складу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са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ставом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(2) </w:t>
      </w:r>
      <w:r>
        <w:rPr>
          <w:rFonts w:ascii="Calibri" w:hAnsi="Calibri" w:cs="Calibri"/>
          <w:sz w:val="22"/>
          <w:szCs w:val="22"/>
          <w:lang w:val="sr-Cyrl-CS"/>
        </w:rPr>
        <w:t>овог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члана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, </w:t>
      </w:r>
      <w:r>
        <w:rPr>
          <w:rFonts w:ascii="Calibri" w:hAnsi="Calibri" w:cs="Calibri"/>
          <w:sz w:val="22"/>
          <w:szCs w:val="22"/>
          <w:lang w:val="sr-Cyrl-CS"/>
        </w:rPr>
        <w:t>свака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институција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којој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је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извршена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ревизија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ће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Главној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служба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за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ревизију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доставити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одговор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којем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износи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радње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које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је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предузела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ради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превазилажења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пропуста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неправилности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утврђених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ревизорском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извјештају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. </w:t>
      </w:r>
      <w:r>
        <w:rPr>
          <w:rFonts w:ascii="Calibri" w:hAnsi="Calibri" w:cs="Calibri"/>
          <w:sz w:val="22"/>
          <w:szCs w:val="22"/>
          <w:lang w:val="sr-Cyrl-CS"/>
        </w:rPr>
        <w:t>Копију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овог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извјештаја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институција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ће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доставити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Министарству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финансија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и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Надлежном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скупштинском</w:t>
      </w:r>
      <w:r w:rsidRPr="00115EA1">
        <w:rPr>
          <w:rFonts w:ascii="Calibri" w:hAnsi="Calibri" w:cs="Calibri"/>
          <w:sz w:val="22"/>
          <w:szCs w:val="22"/>
          <w:lang w:val="sr-Cyrl-CS"/>
        </w:rPr>
        <w:t xml:space="preserve"> </w:t>
      </w:r>
      <w:r>
        <w:rPr>
          <w:rFonts w:ascii="Calibri" w:hAnsi="Calibri" w:cs="Calibri"/>
          <w:sz w:val="22"/>
          <w:szCs w:val="22"/>
          <w:lang w:val="sr-Cyrl-CS"/>
        </w:rPr>
        <w:t>одбору</w:t>
      </w:r>
      <w:r w:rsidRPr="00115EA1">
        <w:rPr>
          <w:rFonts w:ascii="Calibri" w:hAnsi="Calibri" w:cs="Calibri"/>
          <w:sz w:val="22"/>
          <w:szCs w:val="22"/>
          <w:lang w:val="sr-Cyrl-CS"/>
        </w:rPr>
        <w:t>.</w:t>
      </w:r>
      <w:r>
        <w:rPr>
          <w:rFonts w:ascii="Calibri" w:hAnsi="Calibri" w:cs="Calibri"/>
          <w:sz w:val="22"/>
          <w:szCs w:val="22"/>
          <w:lang w:val="sr-Cyrl-CS"/>
        </w:rPr>
        <w:t>''</w:t>
      </w:r>
    </w:p>
    <w:p w:rsidR="00FF4F7C" w:rsidRDefault="00A178F8" w:rsidP="00A178F8">
      <w:pPr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>Имајући у виду да је Главна служба изразила мишљење са резервом за ревизију финансијских извјештаја, те мишљење са резервом за ревизију усклађености, као и да је сачинила Резиме датих препорука, План активности на отклањању неправилности је утврђен на основу датих квалификација у мишљењима, те препорукама из извјештаја.</w:t>
      </w:r>
    </w:p>
    <w:p w:rsidR="00FF4F7C" w:rsidRDefault="00FF4F7C" w:rsidP="00A178F8">
      <w:pPr>
        <w:jc w:val="both"/>
        <w:rPr>
          <w:rFonts w:ascii="Calibri" w:hAnsi="Calibri" w:cs="Calibri"/>
          <w:sz w:val="22"/>
          <w:szCs w:val="22"/>
          <w:lang w:val="sr-Cyrl-CS"/>
        </w:rPr>
        <w:sectPr w:rsidR="00FF4F7C" w:rsidSect="00FF4F7C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440" w:right="1440" w:bottom="1440" w:left="1440" w:header="461" w:footer="648" w:gutter="0"/>
          <w:cols w:space="720"/>
          <w:titlePg/>
          <w:docGrid w:linePitch="360"/>
        </w:sectPr>
      </w:pPr>
    </w:p>
    <w:p w:rsidR="00FF4F7C" w:rsidRDefault="00FF4F7C" w:rsidP="00215C36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  <w:lang w:val="ru-RU"/>
        </w:rPr>
      </w:pPr>
      <w:r w:rsidRPr="00BE0CB7">
        <w:rPr>
          <w:rFonts w:ascii="Calibri" w:hAnsi="Calibri" w:cs="Calibri"/>
          <w:b/>
          <w:sz w:val="22"/>
          <w:szCs w:val="22"/>
          <w:lang w:val="ru-RU"/>
        </w:rPr>
        <w:lastRenderedPageBreak/>
        <w:t xml:space="preserve">ПЛАН АКТИВНОСТИ НА РЕАЛИЗАЦИЈИ ПРЕПОРУКА ПО ИЗВЈЕШТАЈУ О ОБАВЉЕНОЈ </w:t>
      </w:r>
      <w:r>
        <w:rPr>
          <w:rFonts w:ascii="Calibri" w:hAnsi="Calibri" w:cs="Calibri"/>
          <w:b/>
          <w:sz w:val="22"/>
          <w:szCs w:val="22"/>
          <w:lang w:val="ru-RU"/>
        </w:rPr>
        <w:t xml:space="preserve">ФИНАНСИЈСКОЈ </w:t>
      </w:r>
      <w:r w:rsidRPr="00BE0CB7">
        <w:rPr>
          <w:rFonts w:ascii="Calibri" w:hAnsi="Calibri" w:cs="Calibri"/>
          <w:b/>
          <w:sz w:val="22"/>
          <w:szCs w:val="22"/>
          <w:lang w:val="ru-RU"/>
        </w:rPr>
        <w:t xml:space="preserve">РЕВИЗИЈИ </w:t>
      </w:r>
    </w:p>
    <w:p w:rsidR="00FF4F7C" w:rsidRPr="00BE0CB7" w:rsidRDefault="00FF4F7C" w:rsidP="00215C36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ru-RU"/>
        </w:rPr>
        <w:t>ЗЕДП ''ЕЛЕКТРО-БИЈЕЉИНА'' а.д. БИЈЕЉИНА</w:t>
      </w:r>
    </w:p>
    <w:p w:rsidR="00A87C38" w:rsidRDefault="00FF4F7C" w:rsidP="00215C36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  <w:lang w:val="ru-RU"/>
        </w:rPr>
      </w:pPr>
      <w:r>
        <w:rPr>
          <w:rFonts w:ascii="Calibri" w:hAnsi="Calibri" w:cs="Calibri"/>
          <w:b/>
          <w:sz w:val="22"/>
          <w:szCs w:val="22"/>
          <w:lang w:val="ru-RU"/>
        </w:rPr>
        <w:t xml:space="preserve">(ИЗВЈЕШТАЈ БРОЈ РВ068-20 ОД </w:t>
      </w:r>
      <w:r w:rsidR="00FB412E">
        <w:rPr>
          <w:rFonts w:ascii="Calibri" w:hAnsi="Calibri" w:cs="Calibri"/>
          <w:b/>
          <w:sz w:val="22"/>
          <w:szCs w:val="22"/>
          <w:lang w:val="ru-RU"/>
        </w:rPr>
        <w:t>15</w:t>
      </w:r>
      <w:r>
        <w:rPr>
          <w:rFonts w:ascii="Calibri" w:hAnsi="Calibri" w:cs="Calibri"/>
          <w:b/>
          <w:sz w:val="22"/>
          <w:szCs w:val="22"/>
          <w:lang w:val="ru-RU"/>
        </w:rPr>
        <w:t>.</w:t>
      </w:r>
      <w:r w:rsidR="00FB412E">
        <w:rPr>
          <w:rFonts w:ascii="Calibri" w:hAnsi="Calibri" w:cs="Calibri"/>
          <w:b/>
          <w:sz w:val="22"/>
          <w:szCs w:val="22"/>
          <w:lang w:val="ru-RU"/>
        </w:rPr>
        <w:t>12</w:t>
      </w:r>
      <w:r>
        <w:rPr>
          <w:rFonts w:ascii="Calibri" w:hAnsi="Calibri" w:cs="Calibri"/>
          <w:b/>
          <w:sz w:val="22"/>
          <w:szCs w:val="22"/>
          <w:lang w:val="ru-RU"/>
        </w:rPr>
        <w:t>.202</w:t>
      </w:r>
      <w:r w:rsidR="00FB412E">
        <w:rPr>
          <w:rFonts w:ascii="Calibri" w:hAnsi="Calibri" w:cs="Calibri"/>
          <w:b/>
          <w:sz w:val="22"/>
          <w:szCs w:val="22"/>
          <w:lang w:val="ru-RU"/>
        </w:rPr>
        <w:t>0</w:t>
      </w:r>
      <w:r w:rsidRPr="00BE0CB7">
        <w:rPr>
          <w:rFonts w:ascii="Calibri" w:hAnsi="Calibri" w:cs="Calibri"/>
          <w:b/>
          <w:sz w:val="22"/>
          <w:szCs w:val="22"/>
          <w:lang w:val="ru-RU"/>
        </w:rPr>
        <w:t>. ГОДИНЕ)</w:t>
      </w:r>
      <w:r>
        <w:rPr>
          <w:rFonts w:ascii="Calibri" w:hAnsi="Calibri" w:cs="Calibri"/>
          <w:b/>
          <w:sz w:val="22"/>
          <w:szCs w:val="22"/>
          <w:lang w:val="ru-RU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4410"/>
        <w:gridCol w:w="3814"/>
        <w:gridCol w:w="2405"/>
        <w:gridCol w:w="2146"/>
      </w:tblGrid>
      <w:tr w:rsidR="002413D2" w:rsidTr="00D41FD7">
        <w:trPr>
          <w:trHeight w:val="683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8" w:rsidRPr="00BE0CB7" w:rsidRDefault="00A87C38" w:rsidP="00A87C3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BE0CB7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Редни</w:t>
            </w:r>
          </w:p>
          <w:p w:rsidR="00A87C38" w:rsidRPr="00BE0CB7" w:rsidRDefault="00A87C38" w:rsidP="00A87C3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BE0CB7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број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8" w:rsidRPr="00BE0CB7" w:rsidRDefault="00A87C38" w:rsidP="00A87C38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Налази и п</w:t>
            </w:r>
            <w:r w:rsidRPr="00BE0CB7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репоруке по Извјештају</w:t>
            </w:r>
          </w:p>
          <w:p w:rsidR="00A87C38" w:rsidRPr="00A87C38" w:rsidRDefault="00A87C38" w:rsidP="00A87C38">
            <w:pPr>
              <w:pStyle w:val="Heading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A87C3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Број  РВ068-20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8" w:rsidRPr="00BE0CB7" w:rsidRDefault="00A87C38" w:rsidP="00A87C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BE0CB7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План активности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8" w:rsidRPr="00A87C38" w:rsidRDefault="00A87C38" w:rsidP="00A87C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BE0CB7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Носиоци активности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38" w:rsidRPr="00BE0CB7" w:rsidRDefault="00A87C38" w:rsidP="00A87C3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BE0CB7"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Рок</w:t>
            </w:r>
          </w:p>
        </w:tc>
      </w:tr>
      <w:tr w:rsidR="00A87C38" w:rsidTr="000E6746">
        <w:trPr>
          <w:trHeight w:val="413"/>
          <w:jc w:val="center"/>
        </w:trPr>
        <w:tc>
          <w:tcPr>
            <w:tcW w:w="1174" w:type="dxa"/>
          </w:tcPr>
          <w:p w:rsidR="00A87C38" w:rsidRPr="00A87C38" w:rsidRDefault="00A87C38" w:rsidP="000E674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87C38">
              <w:rPr>
                <w:rFonts w:asciiTheme="minorHAnsi" w:hAnsiTheme="minorHAnsi" w:cstheme="minorHAnsi"/>
                <w:lang w:val="sr-Cyrl-BA"/>
              </w:rPr>
              <w:t>1</w:t>
            </w:r>
          </w:p>
        </w:tc>
        <w:tc>
          <w:tcPr>
            <w:tcW w:w="4410" w:type="dxa"/>
          </w:tcPr>
          <w:p w:rsidR="00A87C38" w:rsidRPr="00A87C38" w:rsidRDefault="00A87C38" w:rsidP="000E674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87C38">
              <w:rPr>
                <w:rFonts w:asciiTheme="minorHAnsi" w:hAnsiTheme="minorHAnsi" w:cstheme="minorHAnsi"/>
                <w:lang w:val="sr-Cyrl-BA"/>
              </w:rPr>
              <w:t>2</w:t>
            </w:r>
          </w:p>
        </w:tc>
        <w:tc>
          <w:tcPr>
            <w:tcW w:w="3814" w:type="dxa"/>
          </w:tcPr>
          <w:p w:rsidR="00A87C38" w:rsidRPr="00A87C38" w:rsidRDefault="00A87C38" w:rsidP="000E674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87C38">
              <w:rPr>
                <w:rFonts w:asciiTheme="minorHAnsi" w:hAnsiTheme="minorHAnsi" w:cstheme="minorHAnsi"/>
                <w:lang w:val="sr-Cyrl-BA"/>
              </w:rPr>
              <w:t>3</w:t>
            </w:r>
          </w:p>
        </w:tc>
        <w:tc>
          <w:tcPr>
            <w:tcW w:w="2405" w:type="dxa"/>
          </w:tcPr>
          <w:p w:rsidR="00A87C38" w:rsidRPr="00A87C38" w:rsidRDefault="00A87C38" w:rsidP="000E674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87C38">
              <w:rPr>
                <w:rFonts w:asciiTheme="minorHAnsi" w:hAnsiTheme="minorHAnsi" w:cstheme="minorHAnsi"/>
                <w:lang w:val="sr-Cyrl-BA"/>
              </w:rPr>
              <w:t>4</w:t>
            </w:r>
          </w:p>
        </w:tc>
        <w:tc>
          <w:tcPr>
            <w:tcW w:w="2146" w:type="dxa"/>
          </w:tcPr>
          <w:p w:rsidR="00A87C38" w:rsidRPr="00A87C38" w:rsidRDefault="00A87C38" w:rsidP="000E674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BA"/>
              </w:rPr>
            </w:pPr>
            <w:r w:rsidRPr="00A87C38">
              <w:rPr>
                <w:rFonts w:asciiTheme="minorHAnsi" w:hAnsiTheme="minorHAnsi" w:cstheme="minorHAnsi"/>
                <w:lang w:val="sr-Cyrl-BA"/>
              </w:rPr>
              <w:t>5</w:t>
            </w:r>
          </w:p>
        </w:tc>
      </w:tr>
      <w:tr w:rsidR="005775FC" w:rsidRPr="00A87C38" w:rsidTr="005A6397">
        <w:trPr>
          <w:trHeight w:val="980"/>
          <w:jc w:val="center"/>
        </w:trPr>
        <w:tc>
          <w:tcPr>
            <w:tcW w:w="1174" w:type="dxa"/>
          </w:tcPr>
          <w:p w:rsidR="005775FC" w:rsidRPr="002413D2" w:rsidRDefault="005775FC" w:rsidP="00215C3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4410" w:type="dxa"/>
          </w:tcPr>
          <w:p w:rsidR="005775FC" w:rsidRPr="005775FC" w:rsidRDefault="005775FC" w:rsidP="005775FC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5775FC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''Финансијски резултат текућег периода је потцијењен у износу од најмање 6.518.271 КМ због више исказаних прихода од укидања неискоришћених дугорочних резервисања у износу од 936.651 КМ и више исказаних губитака по основу расходовања сталних средстава у износу од 7.454.922 КМ. </w:t>
            </w:r>
          </w:p>
          <w:p w:rsidR="005775FC" w:rsidRDefault="005775FC" w:rsidP="00E562ED">
            <w:pPr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5775FC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Такође, више је исказан нераспoређени добитак ранијих година, а мање нераспоређени добитак текуће године у прeтхoднo наведеном износу од 6.518.271 КМ. </w:t>
            </w:r>
            <w:r w:rsidRPr="005775FC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''</w:t>
            </w: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5775FC" w:rsidRPr="005775FC" w:rsidRDefault="005775FC" w:rsidP="005775F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  <w:lang w:val="sr-Latn-BA"/>
              </w:rPr>
            </w:pPr>
            <w:r w:rsidRPr="005775FC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страна </w:t>
            </w:r>
            <w:r>
              <w:rPr>
                <w:rFonts w:ascii="Calibri" w:hAnsi="Calibri" w:cs="Calibri"/>
                <w:sz w:val="22"/>
                <w:szCs w:val="22"/>
                <w:lang w:val="sr-Latn-BA"/>
              </w:rPr>
              <w:t>1</w:t>
            </w:r>
            <w:r w:rsidRPr="005775FC">
              <w:rPr>
                <w:rFonts w:ascii="Calibri" w:hAnsi="Calibri" w:cs="Calibri"/>
                <w:sz w:val="22"/>
                <w:szCs w:val="22"/>
                <w:lang w:val="sr-Cyrl-CS"/>
              </w:rPr>
              <w:t>. (Основ за мишљење са резервом);</w:t>
            </w:r>
          </w:p>
        </w:tc>
        <w:tc>
          <w:tcPr>
            <w:tcW w:w="3814" w:type="dxa"/>
          </w:tcPr>
          <w:p w:rsidR="00B441D1" w:rsidRDefault="000E6746" w:rsidP="00B441D1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5A6397">
              <w:rPr>
                <w:rFonts w:asciiTheme="minorHAnsi" w:hAnsiTheme="minorHAnsi" w:cstheme="minorHAnsi"/>
                <w:sz w:val="22"/>
                <w:lang w:val="sr-Cyrl-BA"/>
              </w:rPr>
              <w:t>Од 1. јануара 202</w:t>
            </w:r>
            <w:r w:rsidR="00B441D1">
              <w:rPr>
                <w:rFonts w:asciiTheme="minorHAnsi" w:hAnsiTheme="minorHAnsi" w:cstheme="minorHAnsi"/>
                <w:sz w:val="22"/>
                <w:lang w:val="sr-Cyrl-BA"/>
              </w:rPr>
              <w:t>0</w:t>
            </w:r>
            <w:r w:rsidRPr="005A6397">
              <w:rPr>
                <w:rFonts w:asciiTheme="minorHAnsi" w:hAnsiTheme="minorHAnsi" w:cstheme="minorHAnsi"/>
                <w:sz w:val="22"/>
                <w:lang w:val="sr-Cyrl-BA"/>
              </w:rPr>
              <w:t>. године биће обезбјеђена примјена члана 2</w:t>
            </w:r>
            <w:r w:rsidR="00B441D1">
              <w:rPr>
                <w:rFonts w:asciiTheme="minorHAnsi" w:hAnsiTheme="minorHAnsi" w:cstheme="minorHAnsi"/>
                <w:sz w:val="22"/>
                <w:lang w:val="sr-Cyrl-BA"/>
              </w:rPr>
              <w:t>6</w:t>
            </w:r>
            <w:r w:rsidRPr="005A6397">
              <w:rPr>
                <w:rFonts w:asciiTheme="minorHAnsi" w:hAnsiTheme="minorHAnsi" w:cstheme="minorHAnsi"/>
                <w:sz w:val="22"/>
                <w:lang w:val="sr-Cyrl-BA"/>
              </w:rPr>
              <w:t>.</w:t>
            </w:r>
            <w:r w:rsidR="00B441D1">
              <w:rPr>
                <w:rFonts w:asciiTheme="minorHAnsi" w:hAnsiTheme="minorHAnsi" w:cstheme="minorHAnsi"/>
                <w:sz w:val="22"/>
                <w:lang w:val="sr-Cyrl-BA"/>
              </w:rPr>
              <w:t xml:space="preserve"> тачка (2), (3), и (5)</w:t>
            </w:r>
            <w:r w:rsidRPr="005A6397">
              <w:rPr>
                <w:rFonts w:asciiTheme="minorHAnsi" w:hAnsiTheme="minorHAnsi" w:cstheme="minorHAnsi"/>
                <w:sz w:val="22"/>
                <w:lang w:val="sr-Cyrl-BA"/>
              </w:rPr>
              <w:t xml:space="preserve"> Правилника о контном оквиру и садржини рачуна у контном оквиру за привредна друштва, задруге, друга правна лица и предузетнике</w:t>
            </w:r>
            <w:r w:rsidR="00B441D1">
              <w:rPr>
                <w:rFonts w:asciiTheme="minorHAnsi" w:hAnsiTheme="minorHAnsi" w:cstheme="minorHAnsi"/>
                <w:sz w:val="22"/>
                <w:lang w:val="sr-Cyrl-BA"/>
              </w:rPr>
              <w:t>;</w:t>
            </w:r>
          </w:p>
          <w:p w:rsidR="00B441D1" w:rsidRDefault="00B441D1" w:rsidP="00B441D1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Такође, биће обезбјеђена примјена члана 28. тачка (8) </w:t>
            </w:r>
            <w:r w:rsidRPr="005A6397">
              <w:rPr>
                <w:rFonts w:asciiTheme="minorHAnsi" w:hAnsiTheme="minorHAnsi" w:cstheme="minorHAnsi"/>
                <w:sz w:val="22"/>
                <w:lang w:val="sr-Cyrl-BA"/>
              </w:rPr>
              <w:t>Правилника о контном оквиру и садржини рачуна у контном оквиру за привредна друштва, задруге, друга правна лица и предузетнике</w:t>
            </w:r>
            <w:r w:rsidR="00846ABD">
              <w:rPr>
                <w:rFonts w:asciiTheme="minorHAnsi" w:hAnsiTheme="minorHAnsi" w:cstheme="minorHAnsi"/>
                <w:sz w:val="22"/>
                <w:lang w:val="sr-Cyrl-BA"/>
              </w:rPr>
              <w:t>;</w:t>
            </w:r>
          </w:p>
          <w:p w:rsidR="005775FC" w:rsidRPr="005A6397" w:rsidRDefault="0008658F" w:rsidP="00846ABD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5A6397">
              <w:rPr>
                <w:rFonts w:asciiTheme="minorHAnsi" w:hAnsiTheme="minorHAnsi" w:cstheme="minorHAnsi"/>
                <w:sz w:val="22"/>
                <w:lang w:val="sr-Cyrl-BA"/>
              </w:rPr>
              <w:t xml:space="preserve">Од 1. јануара 2021. године вршићемо </w:t>
            </w:r>
            <w:r w:rsidR="00756ED9">
              <w:rPr>
                <w:rFonts w:asciiTheme="minorHAnsi" w:hAnsiTheme="minorHAnsi" w:cstheme="minorHAnsi"/>
                <w:sz w:val="22"/>
                <w:lang w:val="sr-Cyrl-BA"/>
              </w:rPr>
              <w:t xml:space="preserve">укидања неискоришћених дугорочних резервисања која имају карактер донација </w:t>
            </w:r>
            <w:r w:rsidR="00846ABD">
              <w:rPr>
                <w:rFonts w:asciiTheme="minorHAnsi" w:hAnsiTheme="minorHAnsi" w:cstheme="minorHAnsi"/>
                <w:sz w:val="22"/>
                <w:lang w:val="sr-Cyrl-BA"/>
              </w:rPr>
              <w:t xml:space="preserve">преко резултата текућег периода. </w:t>
            </w:r>
          </w:p>
        </w:tc>
        <w:tc>
          <w:tcPr>
            <w:tcW w:w="2405" w:type="dxa"/>
          </w:tcPr>
          <w:p w:rsidR="005775FC" w:rsidRPr="00215C36" w:rsidRDefault="0008658F" w:rsidP="00215C36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Руководилац службе рачуноводства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FC" w:rsidRPr="006313DC" w:rsidRDefault="0008658F" w:rsidP="00E73FDE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CS"/>
              </w:rPr>
            </w:pPr>
            <w:r w:rsidRPr="006313DC">
              <w:rPr>
                <w:rFonts w:asciiTheme="minorHAnsi" w:hAnsiTheme="minorHAnsi" w:cstheme="minorHAnsi"/>
                <w:iCs/>
                <w:sz w:val="22"/>
                <w:lang w:val="sr-Cyrl-CS"/>
              </w:rPr>
              <w:t xml:space="preserve">Почевши од </w:t>
            </w:r>
            <w:r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јануара 2021. године, те током пословних година</w:t>
            </w: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>;</w:t>
            </w:r>
          </w:p>
        </w:tc>
      </w:tr>
      <w:tr w:rsidR="00215C36" w:rsidRPr="00A87C38" w:rsidTr="008249CF">
        <w:trPr>
          <w:jc w:val="center"/>
        </w:trPr>
        <w:tc>
          <w:tcPr>
            <w:tcW w:w="1174" w:type="dxa"/>
          </w:tcPr>
          <w:p w:rsidR="00215C36" w:rsidRPr="002413D2" w:rsidRDefault="00215C36" w:rsidP="00215C3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4410" w:type="dxa"/>
          </w:tcPr>
          <w:p w:rsidR="00215C36" w:rsidRPr="00422BD7" w:rsidRDefault="00215C36" w:rsidP="00215C36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sz w:val="22"/>
                <w:lang w:val="sr-Cyrl-BA"/>
              </w:rPr>
              <w:t>''Код провођења процедура јавних набавки у 2019. години нису испоштоване одредбе Закона о јавним набавкама јер је проведено више директних споразума за набавке истих роба и услуга (маркетиншке, рекламне и медијске услуге, канцеларијски материјал, осигурање објеката, обуке и оспособљавања радника) дијељењем набавки што није у складу са чланом 14. и 15. Закона о јавним набавкама. ''</w:t>
            </w:r>
          </w:p>
          <w:p w:rsidR="00215C36" w:rsidRPr="00F54665" w:rsidRDefault="00215C36" w:rsidP="005775F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страна </w:t>
            </w:r>
            <w:r w:rsidR="005775FC">
              <w:rPr>
                <w:rFonts w:ascii="Calibri" w:hAnsi="Calibri" w:cs="Calibri"/>
                <w:sz w:val="22"/>
                <w:szCs w:val="22"/>
                <w:lang w:val="sr-Latn-BA"/>
              </w:rPr>
              <w:t>4</w:t>
            </w: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>. (Основ за мишљење са резервом);</w:t>
            </w:r>
          </w:p>
        </w:tc>
        <w:tc>
          <w:tcPr>
            <w:tcW w:w="3814" w:type="dxa"/>
          </w:tcPr>
          <w:p w:rsidR="00215C36" w:rsidRPr="00422BD7" w:rsidRDefault="00215C36" w:rsidP="002E637D">
            <w:pPr>
              <w:spacing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22BD7">
              <w:rPr>
                <w:rFonts w:asciiTheme="minorHAnsi" w:hAnsiTheme="minorHAnsi" w:cstheme="minorHAnsi"/>
                <w:sz w:val="22"/>
                <w:lang w:val="sr-Cyrl-BA"/>
              </w:rPr>
              <w:t>Извршен је увид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у провођење процедуре јавних набавки и усклађеност</w:t>
            </w:r>
            <w:r w:rsidR="00E93799">
              <w:rPr>
                <w:rFonts w:asciiTheme="minorHAnsi" w:hAnsiTheme="minorHAnsi" w:cstheme="minorHAnsi"/>
                <w:sz w:val="22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са Законом о јавним 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>набавкама</w:t>
            </w:r>
            <w:r w:rsidR="00411038" w:rsidRPr="006313DC">
              <w:rPr>
                <w:rFonts w:asciiTheme="minorHAnsi" w:hAnsiTheme="minorHAnsi" w:cstheme="minorHAnsi"/>
                <w:sz w:val="22"/>
                <w:lang w:val="sr-Cyrl-BA"/>
              </w:rPr>
              <w:t xml:space="preserve"> (Службени гласник БиХ, број 3</w:t>
            </w:r>
            <w:r w:rsidR="002E637D" w:rsidRPr="006313DC">
              <w:rPr>
                <w:rFonts w:asciiTheme="minorHAnsi" w:hAnsiTheme="minorHAnsi" w:cstheme="minorHAnsi"/>
                <w:sz w:val="22"/>
                <w:lang w:val="sr-Cyrl-BA"/>
              </w:rPr>
              <w:t>9</w:t>
            </w:r>
            <w:r w:rsidR="00411038" w:rsidRPr="006313DC">
              <w:rPr>
                <w:rFonts w:asciiTheme="minorHAnsi" w:hAnsiTheme="minorHAnsi" w:cstheme="minorHAnsi"/>
                <w:sz w:val="22"/>
                <w:lang w:val="sr-Cyrl-BA"/>
              </w:rPr>
              <w:t>/14)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>. Уочене су неусклађености и извршена је њихова детаљна анализа. Од 1. јануара 2021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. године вршиће се дослиједно провођење свих одредби Закона о јавним набавкама. </w:t>
            </w:r>
          </w:p>
        </w:tc>
        <w:tc>
          <w:tcPr>
            <w:tcW w:w="2405" w:type="dxa"/>
          </w:tcPr>
          <w:p w:rsidR="00215C36" w:rsidRDefault="00215C36" w:rsidP="00215C36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215C3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Директор,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Извршни директор за послове подршке, Руководилац службе за јавне набавке;</w:t>
            </w:r>
          </w:p>
          <w:p w:rsidR="00215C36" w:rsidRPr="00215C36" w:rsidRDefault="00215C36" w:rsidP="00215C36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6" w:rsidRPr="00422BD7" w:rsidRDefault="0046624B" w:rsidP="00E73FDE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iCs/>
                <w:sz w:val="22"/>
                <w:lang w:val="sr-Cyrl-CS"/>
              </w:rPr>
              <w:t xml:space="preserve">Почевши од </w:t>
            </w:r>
            <w:r w:rsidR="00215C36"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</w:t>
            </w:r>
            <w:r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а</w:t>
            </w:r>
            <w:r w:rsidR="00215C36"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 2021. године</w:t>
            </w:r>
            <w:r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, те током пословних година</w:t>
            </w:r>
            <w:r w:rsidR="00215C36"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;</w:t>
            </w:r>
          </w:p>
        </w:tc>
      </w:tr>
      <w:tr w:rsidR="00215C36" w:rsidRPr="00A87C38" w:rsidTr="004F2E67">
        <w:trPr>
          <w:jc w:val="center"/>
        </w:trPr>
        <w:tc>
          <w:tcPr>
            <w:tcW w:w="1174" w:type="dxa"/>
          </w:tcPr>
          <w:p w:rsidR="00215C36" w:rsidRPr="002413D2" w:rsidRDefault="00215C36" w:rsidP="00215C3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4410" w:type="dxa"/>
          </w:tcPr>
          <w:p w:rsidR="00215C36" w:rsidRPr="00422BD7" w:rsidRDefault="00215C36" w:rsidP="00215C36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sz w:val="22"/>
                <w:lang w:val="sr-Cyrl-BA"/>
              </w:rPr>
              <w:t>''Код дијела јавних набавки, понуде примљене након истека рока за пријем нису враћене понуђачу, одлуке о избору најповољнијег понуђача, обавјештења о додјели уговора као и сажеци обавјештења нису објављивани, нису достављани извјештаји о проведеним поступцима и нису објављени основни елементи уговора што није у скалду са чланом 36. став (1), 63. став (1), 70. став (6), 74. став (1), 75. став (1) и (2) Закона о јавним''</w:t>
            </w:r>
          </w:p>
          <w:p w:rsidR="00215C36" w:rsidRPr="00422BD7" w:rsidRDefault="005775FC" w:rsidP="00215C36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="Calibri" w:hAnsi="Calibri" w:cs="Calibri"/>
                <w:sz w:val="22"/>
                <w:szCs w:val="22"/>
                <w:lang w:val="sr-Cyrl-CS"/>
              </w:rPr>
              <w:t>страна 4</w:t>
            </w:r>
            <w:r w:rsidR="00215C36"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>. (Основ за мишљење са резервом);</w:t>
            </w:r>
          </w:p>
        </w:tc>
        <w:tc>
          <w:tcPr>
            <w:tcW w:w="3814" w:type="dxa"/>
          </w:tcPr>
          <w:p w:rsidR="00215C36" w:rsidRPr="00422BD7" w:rsidRDefault="00215C36" w:rsidP="00215C36">
            <w:pPr>
              <w:spacing w:line="240" w:lineRule="auto"/>
              <w:jc w:val="both"/>
              <w:rPr>
                <w:rFonts w:asciiTheme="minorHAnsi" w:hAnsiTheme="minorHAnsi" w:cstheme="minorHAnsi"/>
                <w:lang w:val="sr-Cyrl-BA"/>
              </w:rPr>
            </w:pPr>
            <w:r w:rsidRPr="00422BD7">
              <w:rPr>
                <w:rFonts w:asciiTheme="minorHAnsi" w:hAnsiTheme="minorHAnsi" w:cstheme="minorHAnsi"/>
                <w:sz w:val="22"/>
                <w:lang w:val="sr-Cyrl-BA"/>
              </w:rPr>
              <w:t>Извршен је увид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у провођење процедуре јавних набавки и усклађеност</w:t>
            </w:r>
            <w:r w:rsidR="00E93799">
              <w:rPr>
                <w:rFonts w:asciiTheme="minorHAnsi" w:hAnsiTheme="minorHAnsi" w:cstheme="minorHAnsi"/>
                <w:sz w:val="22"/>
                <w:lang w:val="sr-Cyrl-BA"/>
              </w:rPr>
              <w:t>и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са Законом о јавним набавкама. Уочене су неусклађености и извршена је њихова детаљна анализа. Од 1. јануара 2021. године вршиће се дослиједно провођење свих одредби Закона о јавним набавкама. </w:t>
            </w:r>
          </w:p>
        </w:tc>
        <w:tc>
          <w:tcPr>
            <w:tcW w:w="2405" w:type="dxa"/>
          </w:tcPr>
          <w:p w:rsidR="00215C36" w:rsidRDefault="00215C36" w:rsidP="00215C36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215C36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Директор,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Извршни директор за послове подршке, Руководилац службе за јавне набавке;</w:t>
            </w:r>
          </w:p>
          <w:p w:rsidR="00215C36" w:rsidRPr="00215C36" w:rsidRDefault="00215C36" w:rsidP="00215C36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36" w:rsidRPr="00422BD7" w:rsidRDefault="0046624B" w:rsidP="0046624B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iCs/>
                <w:sz w:val="22"/>
                <w:lang w:val="sr-Cyrl-CS"/>
              </w:rPr>
              <w:t xml:space="preserve">Почевши од </w:t>
            </w:r>
            <w:r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јануара 2021. године, те током пословних година;</w:t>
            </w:r>
          </w:p>
        </w:tc>
      </w:tr>
      <w:tr w:rsidR="009132E2" w:rsidRPr="00A87C38" w:rsidTr="004F2E67">
        <w:trPr>
          <w:jc w:val="center"/>
        </w:trPr>
        <w:tc>
          <w:tcPr>
            <w:tcW w:w="1174" w:type="dxa"/>
          </w:tcPr>
          <w:p w:rsidR="009132E2" w:rsidRPr="002413D2" w:rsidRDefault="009132E2" w:rsidP="00215C3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4410" w:type="dxa"/>
          </w:tcPr>
          <w:p w:rsidR="009132E2" w:rsidRPr="007D38B0" w:rsidRDefault="009132E2" w:rsidP="007D38B0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''Предузеће на својој њеб страници не објављује Образац реализације уговора за сваку набавку посебно нити се врши ажурирање за сваки појединачни уговор на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свака три мјесеца, такође </w:t>
            </w:r>
            <w:r w:rsidR="007D38B0">
              <w:rPr>
                <w:rFonts w:asciiTheme="minorHAnsi" w:hAnsiTheme="minorHAnsi" w:cstheme="minorHAnsi"/>
                <w:sz w:val="22"/>
                <w:lang w:val="sr-Cyrl-BA"/>
              </w:rPr>
              <w:t>. Агенцији за јавне набавке нису д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оствљани извјештаји о проведеним поступцима</w:t>
            </w:r>
            <w:r w:rsidR="007D38B0">
              <w:rPr>
                <w:rFonts w:asciiTheme="minorHAnsi" w:hAnsiTheme="minorHAnsi" w:cstheme="minorHAnsi"/>
                <w:sz w:val="22"/>
                <w:lang w:val="sr-Cyrl-BA"/>
              </w:rPr>
              <w:t xml:space="preserve">. Такође, на </w:t>
            </w:r>
            <w:r w:rsidR="007D38B0">
              <w:rPr>
                <w:rFonts w:asciiTheme="minorHAnsi" w:hAnsiTheme="minorHAnsi" w:cstheme="minorHAnsi"/>
                <w:sz w:val="22"/>
                <w:lang w:val="sr-Latn-BA"/>
              </w:rPr>
              <w:t xml:space="preserve">web </w:t>
            </w:r>
            <w:r w:rsidR="007D38B0">
              <w:rPr>
                <w:rFonts w:asciiTheme="minorHAnsi" w:hAnsiTheme="minorHAnsi" w:cstheme="minorHAnsi"/>
                <w:sz w:val="22"/>
                <w:lang w:val="sr-Cyrl-BA"/>
              </w:rPr>
              <w:t>страници Предузећа нису објављени основни елементи уговора за све поступке јавних набавки као и измјене уговора до којих дође у току реализације уговора.''</w:t>
            </w:r>
          </w:p>
        </w:tc>
        <w:tc>
          <w:tcPr>
            <w:tcW w:w="3814" w:type="dxa"/>
          </w:tcPr>
          <w:p w:rsidR="009132E2" w:rsidRPr="00422BD7" w:rsidRDefault="007D38B0" w:rsidP="007D38B0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Извршен је увид у провођење процедуре јавних набавки и усклађеност са Законом о јавним набавкама. Од 1. јануара обезбједиће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се доследна примјена чланова 14. и 15., 36. став (1) 63. став (1), 70. став (1), 75. став (1) и 82) Закона о јавним набавкама, као и поштовање члана 4. Упутства о објави основних елемената уговора и измјена уговора, члан 9. став (2) Правилника о успостављању и раду комисије за набавке , те да се потписивање уговора врши у дефинисаним року. </w:t>
            </w:r>
          </w:p>
        </w:tc>
        <w:tc>
          <w:tcPr>
            <w:tcW w:w="2405" w:type="dxa"/>
          </w:tcPr>
          <w:p w:rsidR="009132E2" w:rsidRPr="00215C36" w:rsidRDefault="00264F4E" w:rsidP="00215C36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lastRenderedPageBreak/>
              <w:t xml:space="preserve">Директор, Извршни директор за послове подршка, руководилац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lastRenderedPageBreak/>
              <w:t>службе зајавне набавке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E2" w:rsidRPr="006313DC" w:rsidRDefault="00264F4E" w:rsidP="0046624B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CS"/>
              </w:rPr>
            </w:pPr>
            <w:r w:rsidRPr="006313DC">
              <w:rPr>
                <w:rFonts w:asciiTheme="minorHAnsi" w:hAnsiTheme="minorHAnsi" w:cstheme="minorHAnsi"/>
                <w:iCs/>
                <w:sz w:val="22"/>
                <w:lang w:val="sr-Cyrl-CS"/>
              </w:rPr>
              <w:lastRenderedPageBreak/>
              <w:t xml:space="preserve">Почевши од </w:t>
            </w:r>
            <w:r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јануара 2021. године, те током пословних година;</w:t>
            </w:r>
          </w:p>
        </w:tc>
      </w:tr>
      <w:tr w:rsidR="00E73FDE" w:rsidRPr="00A87C38" w:rsidTr="00E52601">
        <w:trPr>
          <w:jc w:val="center"/>
        </w:trPr>
        <w:tc>
          <w:tcPr>
            <w:tcW w:w="1174" w:type="dxa"/>
          </w:tcPr>
          <w:p w:rsidR="00E73FDE" w:rsidRPr="002413D2" w:rsidRDefault="00E73FDE" w:rsidP="00E73FD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E73FDE" w:rsidRPr="00422BD7" w:rsidRDefault="00E73FDE" w:rsidP="00E73FDE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sz w:val="22"/>
                <w:lang w:val="sr-Latn-BA"/>
              </w:rPr>
              <w:t>''Исказане бруто накнаде ангажованим лицима на пројектима и бруто накнаде члановима комисија нису предвиђене К</w:t>
            </w:r>
            <w:r w:rsidR="007057A3">
              <w:rPr>
                <w:rFonts w:asciiTheme="minorHAnsi" w:hAnsiTheme="minorHAnsi" w:cstheme="minorHAnsi"/>
                <w:sz w:val="22"/>
                <w:lang w:val="sr-Latn-BA"/>
              </w:rPr>
              <w:t>олективним уговором Мјешовитог Х</w:t>
            </w:r>
            <w:r w:rsidRPr="00422BD7">
              <w:rPr>
                <w:rFonts w:asciiTheme="minorHAnsi" w:hAnsiTheme="minorHAnsi" w:cstheme="minorHAnsi"/>
                <w:sz w:val="22"/>
                <w:lang w:val="sr-Latn-BA"/>
              </w:rPr>
              <w:t xml:space="preserve">олдинга </w:t>
            </w:r>
            <w:r w:rsidRPr="00422BD7">
              <w:rPr>
                <w:rFonts w:asciiTheme="minorHAnsi" w:hAnsiTheme="minorHAnsi" w:cstheme="minorHAnsi"/>
                <w:sz w:val="22"/>
                <w:lang w:val="sr-Cyrl-BA"/>
              </w:rPr>
              <w:t xml:space="preserve">''Електропривреда Републике Српске'', Матично предузеће а.д. Требиње. </w:t>
            </w:r>
          </w:p>
          <w:p w:rsidR="00E73FDE" w:rsidRPr="00422BD7" w:rsidRDefault="00E73FDE" w:rsidP="005775FC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страна </w:t>
            </w:r>
            <w:r w:rsidR="005775FC">
              <w:rPr>
                <w:rFonts w:ascii="Calibri" w:hAnsi="Calibri" w:cs="Calibri"/>
                <w:sz w:val="22"/>
                <w:szCs w:val="22"/>
                <w:lang w:val="sr-Latn-BA"/>
              </w:rPr>
              <w:t>4</w:t>
            </w: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>. (Основ за мишљење са резервом);</w:t>
            </w:r>
          </w:p>
        </w:tc>
        <w:tc>
          <w:tcPr>
            <w:tcW w:w="3814" w:type="dxa"/>
          </w:tcPr>
          <w:p w:rsidR="00E73FDE" w:rsidRPr="00F17178" w:rsidRDefault="00E73FDE" w:rsidP="001966BA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F17178">
              <w:rPr>
                <w:rFonts w:asciiTheme="minorHAnsi" w:hAnsiTheme="minorHAnsi" w:cstheme="minorHAnsi"/>
                <w:sz w:val="22"/>
                <w:lang w:val="sr-Cyrl-BA"/>
              </w:rPr>
              <w:t xml:space="preserve">Од 1. јануара 2021. године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исплате накнада анагажованим лицима на пројектима и бруто накнаде члановима комисија исплаћиваће се приликом обрачуна личних примања </w:t>
            </w:r>
            <w:r w:rsidR="001966BA">
              <w:rPr>
                <w:rFonts w:asciiTheme="minorHAnsi" w:hAnsiTheme="minorHAnsi" w:cstheme="minorHAnsi"/>
                <w:sz w:val="22"/>
                <w:lang w:val="sr-Cyrl-BA"/>
              </w:rPr>
              <w:t xml:space="preserve">као варијабилни дио плате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и </w:t>
            </w:r>
            <w:r w:rsidRPr="001966BA">
              <w:rPr>
                <w:rFonts w:asciiTheme="minorHAnsi" w:hAnsiTheme="minorHAnsi" w:cstheme="minorHAnsi"/>
                <w:sz w:val="22"/>
                <w:lang w:val="sr-Cyrl-BA"/>
              </w:rPr>
              <w:t>би</w:t>
            </w:r>
            <w:r w:rsidR="001966BA" w:rsidRPr="001966BA">
              <w:rPr>
                <w:rFonts w:asciiTheme="minorHAnsi" w:hAnsiTheme="minorHAnsi" w:cstheme="minorHAnsi"/>
                <w:sz w:val="22"/>
                <w:lang w:val="sr-Cyrl-BA"/>
              </w:rPr>
              <w:t>ће саставни</w:t>
            </w:r>
            <w:r w:rsidRPr="001966BA">
              <w:rPr>
                <w:rFonts w:asciiTheme="minorHAnsi" w:hAnsiTheme="minorHAnsi" w:cstheme="minorHAnsi"/>
                <w:sz w:val="22"/>
                <w:lang w:val="sr-Cyrl-BA"/>
              </w:rPr>
              <w:t xml:space="preserve"> дио Трошкова зарада, накнада зарада и осталих личних расхода.</w:t>
            </w:r>
            <w:r w:rsidR="001966BA">
              <w:rPr>
                <w:rFonts w:asciiTheme="minorHAnsi" w:hAnsiTheme="minorHAnsi" w:cstheme="minorHAnsi"/>
                <w:sz w:val="22"/>
                <w:lang w:val="sr-Cyrl-BA"/>
              </w:rPr>
              <w:t xml:space="preserve"> Исплата ће бити у складу са Правилником о мјерењу и оцјењивању радног учинка у којем је одређено да се по основу индивидуалног радног учинка плата може повећати до 20% у току једног мјесеца. Управа ће о овоме донијети Одлуку.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</w:t>
            </w:r>
          </w:p>
        </w:tc>
        <w:tc>
          <w:tcPr>
            <w:tcW w:w="2405" w:type="dxa"/>
          </w:tcPr>
          <w:p w:rsidR="00E93799" w:rsidRDefault="000007A4" w:rsidP="00E93799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Управа, </w:t>
            </w:r>
            <w:r w:rsidR="00E93799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Руководилац службе рачуноводства;</w:t>
            </w:r>
          </w:p>
          <w:p w:rsidR="00E73FDE" w:rsidRPr="00E73FDE" w:rsidRDefault="00E73FDE" w:rsidP="00D3130C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DE" w:rsidRPr="00422BD7" w:rsidRDefault="00E73FDE" w:rsidP="00E73FDE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 2021. године;</w:t>
            </w:r>
          </w:p>
        </w:tc>
      </w:tr>
      <w:tr w:rsidR="00411038" w:rsidRPr="00A87C38" w:rsidTr="00D41FD7">
        <w:trPr>
          <w:jc w:val="center"/>
        </w:trPr>
        <w:tc>
          <w:tcPr>
            <w:tcW w:w="1174" w:type="dxa"/>
          </w:tcPr>
          <w:p w:rsidR="00411038" w:rsidRPr="00307309" w:rsidRDefault="00411038" w:rsidP="0041103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411038" w:rsidRPr="00422BD7" w:rsidRDefault="00411038" w:rsidP="00411038">
            <w:pPr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''Зависно електродистрибутивно предузећe „Електро-Бијељина“ а.д. Бијељина</w:t>
            </w:r>
            <w:r w:rsidRPr="00422BD7">
              <w:rPr>
                <w:rFonts w:asciiTheme="minorHAnsi" w:hAnsiTheme="minorHAnsi" w:cstheme="minorHAnsi"/>
                <w:sz w:val="22"/>
                <w:lang w:val="sr-Cyrl-BA"/>
              </w:rPr>
              <w:t xml:space="preserve"> није обезбиједило тачне и поуздане евиденције из којих би се могла идентификовати </w:t>
            </w:r>
            <w:r w:rsidRPr="00422BD7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>опрема-прикључци који се односе на властита улагања и опрема-прикључци која се односи на донације, што није у складу са чланом 10, 11, 13-22. Правилника о рачуноводственим политикама Мјешовитог Холдинга "Електропривреда Републике Српске".</w:t>
            </w:r>
          </w:p>
          <w:p w:rsidR="00411038" w:rsidRPr="00422BD7" w:rsidRDefault="00411038" w:rsidP="005775F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lang w:val="sr-Latn-BA"/>
              </w:rPr>
            </w:pP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страна </w:t>
            </w:r>
            <w:r w:rsidR="005775FC">
              <w:rPr>
                <w:rFonts w:ascii="Calibri" w:hAnsi="Calibri" w:cs="Calibri"/>
                <w:sz w:val="22"/>
                <w:szCs w:val="22"/>
                <w:lang w:val="sr-Latn-BA"/>
              </w:rPr>
              <w:t>4</w:t>
            </w: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>. (Основ за мишљење са резервом);</w:t>
            </w:r>
          </w:p>
        </w:tc>
        <w:tc>
          <w:tcPr>
            <w:tcW w:w="3814" w:type="dxa"/>
          </w:tcPr>
          <w:p w:rsidR="00411038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Од 1. јануара 2021. године биће обезбијеђена примјена 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 xml:space="preserve">члана 34. и 35. новог Правилника о рачуноводственим политикама Мјешовитог Холдинга 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>''Електропривреде Републике Српске''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(Службени билтен МХ ЕП РС, број 18/20) у погледу књиговодствених исправа на основу којих се врши књижење пословних промјена, као и примјена 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>чланова 37. до 44. у дијелу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који се односи на формалну, суштинску и рачунску исправност 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>књиговодствених исправа које се односе на третман сталне имовине.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</w:t>
            </w:r>
          </w:p>
          <w:p w:rsidR="00411038" w:rsidRPr="007057A3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>Током 2019. године завршена је активност на снимању прикључака и увезивању снимљених података са подацима из базе основних средстава, тако да се ова активност неће понављати у наредним периодима.</w:t>
            </w:r>
          </w:p>
        </w:tc>
        <w:tc>
          <w:tcPr>
            <w:tcW w:w="2405" w:type="dxa"/>
          </w:tcPr>
          <w:p w:rsidR="00411038" w:rsidRPr="006313DC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lastRenderedPageBreak/>
              <w:t>Извршни директор за послове подршке, Руководилац службе рачуноводства;</w:t>
            </w:r>
          </w:p>
          <w:p w:rsidR="00411038" w:rsidRPr="006313DC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</w:p>
        </w:tc>
        <w:tc>
          <w:tcPr>
            <w:tcW w:w="2146" w:type="dxa"/>
          </w:tcPr>
          <w:p w:rsidR="00411038" w:rsidRPr="006313DC" w:rsidRDefault="00411038" w:rsidP="00411038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lastRenderedPageBreak/>
              <w:t>1. јануар 2021. године;</w:t>
            </w:r>
          </w:p>
        </w:tc>
      </w:tr>
      <w:tr w:rsidR="00411038" w:rsidRPr="00A87C38" w:rsidTr="00D41FD7">
        <w:trPr>
          <w:jc w:val="center"/>
        </w:trPr>
        <w:tc>
          <w:tcPr>
            <w:tcW w:w="1174" w:type="dxa"/>
          </w:tcPr>
          <w:p w:rsidR="00411038" w:rsidRPr="002413D2" w:rsidRDefault="00411038" w:rsidP="0041103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411038" w:rsidRPr="00422BD7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sz w:val="22"/>
                <w:lang w:val="sr-Cyrl-BA"/>
              </w:rPr>
              <w:t xml:space="preserve">''врши попис ванбилaнсне евиденције и примљених гаранција у складу са чланом 4. став 3. Правилника о начину и роковима вршења пописа и усклађивања књиговодственог са стварним стањем имовине и обавеза.'' </w:t>
            </w:r>
          </w:p>
          <w:p w:rsidR="00411038" w:rsidRPr="00422BD7" w:rsidRDefault="00411038" w:rsidP="005775FC">
            <w:pPr>
              <w:pStyle w:val="ListParagraph"/>
              <w:numPr>
                <w:ilvl w:val="0"/>
                <w:numId w:val="3"/>
              </w:numPr>
              <w:tabs>
                <w:tab w:val="left" w:pos="1021"/>
              </w:tabs>
              <w:spacing w:before="120" w:after="12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страна </w:t>
            </w:r>
            <w:r w:rsidR="005775FC">
              <w:rPr>
                <w:rFonts w:ascii="Calibri" w:hAnsi="Calibri" w:cs="Calibri"/>
                <w:sz w:val="22"/>
                <w:szCs w:val="22"/>
                <w:lang w:val="sr-Latn-BA"/>
              </w:rPr>
              <w:t>6</w:t>
            </w:r>
            <w:r w:rsidRPr="00422BD7">
              <w:rPr>
                <w:rFonts w:ascii="Calibri" w:hAnsi="Calibri" w:cs="Calibri"/>
                <w:sz w:val="22"/>
                <w:szCs w:val="22"/>
                <w:lang w:val="sr-Cyrl-CS"/>
              </w:rPr>
              <w:t>. (Резиме датих препорука – Препоруке везане за финансијске извјештаје);</w:t>
            </w:r>
          </w:p>
        </w:tc>
        <w:tc>
          <w:tcPr>
            <w:tcW w:w="3814" w:type="dxa"/>
          </w:tcPr>
          <w:p w:rsidR="00411038" w:rsidRDefault="00411038" w:rsidP="00411038">
            <w:pPr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Ускладу са Правилником о начину и роковима вршења пописа и усклађивања књиговодственог са стварним стањем имовине и обавеза 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>(</w:t>
            </w:r>
            <w:r w:rsidRPr="003B41A6">
              <w:rPr>
                <w:rFonts w:ascii="Calibri" w:hAnsi="Calibri" w:cs="Calibri"/>
                <w:sz w:val="22"/>
                <w:szCs w:val="22"/>
                <w:lang w:val="ru-RU"/>
              </w:rPr>
              <w:t xml:space="preserve">Службени гласник РС, број </w:t>
            </w:r>
            <w:hyperlink r:id="rId12" w:history="1">
              <w:r w:rsidRPr="003B41A6">
                <w:rPr>
                  <w:rFonts w:ascii="Calibri" w:hAnsi="Calibri" w:cs="Calibri"/>
                  <w:sz w:val="22"/>
                  <w:szCs w:val="22"/>
                  <w:lang w:val="ru-RU"/>
                </w:rPr>
                <w:t>45/16</w:t>
              </w:r>
            </w:hyperlink>
            <w:r w:rsidRPr="003B41A6">
              <w:rPr>
                <w:rFonts w:ascii="Calibri" w:hAnsi="Calibri" w:cs="Calibri"/>
                <w:sz w:val="22"/>
                <w:szCs w:val="22"/>
                <w:lang w:val="ru-RU"/>
              </w:rPr>
              <w:t>)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биће обухваћена ванбилансна евиденција и попис примљених гаранција у поступцима јавних набавки и тиме поштовање члана 4. Став 3. Наведеног Правилника. </w:t>
            </w:r>
          </w:p>
          <w:p w:rsidR="00411038" w:rsidRPr="00422BD7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Комисијама за попис су достављени основни елементи из новог </w:t>
            </w:r>
            <w:r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 xml:space="preserve">Правилника о рачуноводственој политици МХ Електропривреда Републике Српске гдје су наведене процедуре пописа за 2020. годину.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lastRenderedPageBreak/>
              <w:t xml:space="preserve">Руководилац </w:t>
            </w: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службе </w:t>
            </w:r>
            <w:r w:rsidRPr="00E73FDE">
              <w:rPr>
                <w:rFonts w:asciiTheme="minorHAnsi" w:hAnsiTheme="minorHAnsi" w:cstheme="minorHAnsi"/>
                <w:sz w:val="22"/>
                <w:lang w:val="sr-Cyrl-BA"/>
              </w:rPr>
              <w:t>рачуноводства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, Пописне комисије;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411038" w:rsidP="00411038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 2021. године;</w:t>
            </w:r>
          </w:p>
        </w:tc>
      </w:tr>
      <w:tr w:rsidR="00411038" w:rsidRPr="00A87C38" w:rsidTr="00327BE6">
        <w:trPr>
          <w:jc w:val="center"/>
        </w:trPr>
        <w:tc>
          <w:tcPr>
            <w:tcW w:w="1174" w:type="dxa"/>
          </w:tcPr>
          <w:p w:rsidR="00411038" w:rsidRPr="002413D2" w:rsidRDefault="00411038" w:rsidP="0041103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411038" w:rsidRPr="00E73FDE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E73FDE">
              <w:rPr>
                <w:rFonts w:asciiTheme="minorHAnsi" w:hAnsiTheme="minorHAnsi" w:cstheme="minorHAnsi"/>
                <w:sz w:val="22"/>
                <w:lang w:val="sr-Cyrl-BA"/>
              </w:rPr>
              <w:t>''пословне књиге воде на начин дефинисан чланом 11. став (5) и чланом 12. став (6) Закона о рачуноводству и ревизији Републике Српске ''</w:t>
            </w:r>
          </w:p>
          <w:p w:rsidR="00411038" w:rsidRPr="00E73FDE" w:rsidRDefault="0041103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E73FDE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E73FDE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финансијске извјештаје);</w:t>
            </w:r>
          </w:p>
        </w:tc>
        <w:tc>
          <w:tcPr>
            <w:tcW w:w="3814" w:type="dxa"/>
          </w:tcPr>
          <w:p w:rsidR="00411038" w:rsidRPr="0057494E" w:rsidRDefault="00411038" w:rsidP="001B37A3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57494E">
              <w:rPr>
                <w:rFonts w:asciiTheme="minorHAnsi" w:hAnsiTheme="minorHAnsi" w:cstheme="minorHAnsi"/>
                <w:sz w:val="22"/>
                <w:lang w:val="sr-Cyrl-BA"/>
              </w:rPr>
              <w:t>Од 1. јануара 2021. године</w:t>
            </w:r>
            <w:r w:rsidR="001B37A3">
              <w:rPr>
                <w:rFonts w:asciiTheme="minorHAnsi" w:hAnsiTheme="minorHAnsi" w:cstheme="minorHAnsi"/>
                <w:sz w:val="22"/>
                <w:lang w:val="sr-Cyrl-BA"/>
              </w:rPr>
              <w:t>,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чиме обухватамо и све пословне промјене које се односе на пословну 2020. годину, биће поштован члан 11. став (5) и члан 12. став (6) Закона о рачуноводству и ревизији</w:t>
            </w:r>
            <w:r w:rsidR="002E637D">
              <w:rPr>
                <w:rFonts w:asciiTheme="minorHAnsi" w:hAnsiTheme="minorHAnsi" w:cstheme="minorHAnsi"/>
                <w:sz w:val="22"/>
                <w:lang w:val="sr-Cyrl-BA"/>
              </w:rPr>
              <w:t xml:space="preserve"> </w:t>
            </w:r>
            <w:r w:rsidR="002E637D" w:rsidRPr="006313DC">
              <w:rPr>
                <w:rFonts w:asciiTheme="minorHAnsi" w:hAnsiTheme="minorHAnsi" w:cstheme="minorHAnsi"/>
                <w:sz w:val="22"/>
                <w:lang w:val="sr-Cyrl-BA"/>
              </w:rPr>
              <w:t>Републике Српске (Службени гласник РС, број 94/15 и 78/20)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>. Овим ће бити обезбјеђено да се пословне књиге закључују након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свих потребних књижења, укључујући предзакључна и закључна књижења, а најкасније до рока за предају годишњих финансијских извјештаја.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Руководилац </w:t>
            </w: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службе </w:t>
            </w:r>
            <w:r w:rsidRPr="00E73FDE">
              <w:rPr>
                <w:rFonts w:asciiTheme="minorHAnsi" w:hAnsiTheme="minorHAnsi" w:cstheme="minorHAnsi"/>
                <w:sz w:val="22"/>
                <w:lang w:val="sr-Cyrl-BA"/>
              </w:rPr>
              <w:t>рачуноводства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;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411038" w:rsidP="00411038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 2021. године;</w:t>
            </w:r>
          </w:p>
        </w:tc>
      </w:tr>
      <w:tr w:rsidR="00411038" w:rsidRPr="00A87C38" w:rsidTr="00327BE6">
        <w:trPr>
          <w:jc w:val="center"/>
        </w:trPr>
        <w:tc>
          <w:tcPr>
            <w:tcW w:w="1174" w:type="dxa"/>
          </w:tcPr>
          <w:p w:rsidR="00411038" w:rsidRPr="002413D2" w:rsidRDefault="00411038" w:rsidP="0041103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6313DC" w:rsidRDefault="00411038" w:rsidP="00411038">
            <w:pPr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Latn-BA"/>
              </w:rPr>
              <w:t>''</w:t>
            </w:r>
            <w:r w:rsidRPr="00D841D2">
              <w:rPr>
                <w:rFonts w:asciiTheme="minorHAnsi" w:hAnsiTheme="minorHAnsi" w:cstheme="minorHAnsi"/>
                <w:sz w:val="22"/>
                <w:lang w:val="sr-Cyrl-BA"/>
              </w:rPr>
              <w:t xml:space="preserve">Препоручије се директору Предузећа да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 </w:t>
            </w:r>
            <w:r w:rsidRPr="00D841D2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 xml:space="preserve">поштује члан 4. Упутства о објави основних елемената уговора и измјена уговора, </w:t>
            </w:r>
            <w:r w:rsidRPr="00D841D2">
              <w:rPr>
                <w:rFonts w:asciiTheme="minorHAnsi" w:hAnsiTheme="minorHAnsi" w:cstheme="minorHAnsi"/>
                <w:sz w:val="22"/>
                <w:lang w:val="sr-Cyrl-BA"/>
              </w:rPr>
              <w:t>члан 9. став (2) Правилника о успостављању и раду комисије за набавке, те да се потписивање у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говора врши у дефинисаном року''</w:t>
            </w:r>
          </w:p>
          <w:p w:rsidR="00411038" w:rsidRPr="00220C65" w:rsidRDefault="00220C65" w:rsidP="00220C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>с</w:t>
            </w:r>
            <w:r w:rsidR="006313DC" w:rsidRPr="00220C65">
              <w:rPr>
                <w:rFonts w:asciiTheme="minorHAnsi" w:hAnsiTheme="minorHAnsi" w:cstheme="minorHAnsi"/>
                <w:sz w:val="22"/>
                <w:lang w:val="sr-Cyrl-BA"/>
              </w:rPr>
              <w:t xml:space="preserve">трана </w:t>
            </w:r>
            <w:r w:rsidRPr="00220C65">
              <w:rPr>
                <w:rFonts w:asciiTheme="minorHAnsi" w:hAnsiTheme="minorHAnsi" w:cstheme="minorHAnsi"/>
                <w:sz w:val="22"/>
                <w:lang w:val="sr-Cyrl-BA"/>
              </w:rPr>
              <w:t>11. (Извјештај о проведеној ревизији – налази);</w:t>
            </w:r>
          </w:p>
        </w:tc>
        <w:tc>
          <w:tcPr>
            <w:tcW w:w="3814" w:type="dxa"/>
          </w:tcPr>
          <w:p w:rsidR="00411038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Од 1. јануара 2021. године вршиће се дослиједна примјена члана 4. Упутства о објави основних елемената уговора и измјене уговора чиме се обавезујемо да ћемо спроводити ажурирање свих елемената уговора и обезбједити њихову доступност на интернет страници. </w:t>
            </w:r>
          </w:p>
          <w:p w:rsidR="00411038" w:rsidRPr="00EF7559" w:rsidRDefault="00411038" w:rsidP="00CD1BFA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Такође, у складу са чланом 9. став (2) </w:t>
            </w:r>
            <w:r w:rsidRPr="00D841D2">
              <w:rPr>
                <w:rFonts w:asciiTheme="minorHAnsi" w:hAnsiTheme="minorHAnsi" w:cstheme="minorHAnsi"/>
                <w:sz w:val="22"/>
                <w:lang w:val="sr-Cyrl-BA"/>
              </w:rPr>
              <w:t xml:space="preserve">Правилника о успостављању и раду </w:t>
            </w:r>
            <w:r w:rsidRPr="00D841D2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комисије за набавке, </w:t>
            </w:r>
            <w:r w:rsidR="000007A4">
              <w:rPr>
                <w:rFonts w:asciiTheme="minorHAnsi" w:hAnsiTheme="minorHAnsi" w:cstheme="minorHAnsi"/>
                <w:sz w:val="22"/>
                <w:lang w:val="sr-Cyrl-BA"/>
              </w:rPr>
              <w:t xml:space="preserve">обезбједићемо доношење акта </w:t>
            </w:r>
            <w:r w:rsidR="00CD1BFA">
              <w:rPr>
                <w:rFonts w:asciiTheme="minorHAnsi" w:hAnsiTheme="minorHAnsi" w:cstheme="minorHAnsi"/>
                <w:sz w:val="22"/>
                <w:lang w:val="sr-Cyrl-BA"/>
              </w:rPr>
              <w:t xml:space="preserve">о раду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комисије</w:t>
            </w:r>
            <w:r w:rsidR="00CD1BFA">
              <w:rPr>
                <w:rFonts w:asciiTheme="minorHAnsi" w:hAnsiTheme="minorHAnsi" w:cstheme="minorHAnsi"/>
                <w:sz w:val="22"/>
                <w:lang w:val="sr-Cyrl-BA"/>
              </w:rPr>
              <w:t>.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Default="000007A4" w:rsidP="0041103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lastRenderedPageBreak/>
              <w:t xml:space="preserve">Управа, </w:t>
            </w:r>
            <w:r w:rsidR="00411038">
              <w:rPr>
                <w:rFonts w:asciiTheme="minorHAnsi" w:hAnsiTheme="minorHAnsi" w:cstheme="minorHAnsi"/>
                <w:sz w:val="22"/>
                <w:szCs w:val="22"/>
                <w:lang w:val="sr-Cyrl-BA"/>
              </w:rPr>
              <w:t>Руководилац службе за јавне набавке;</w:t>
            </w:r>
          </w:p>
          <w:p w:rsidR="00411038" w:rsidRPr="00422BD7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CD1BFA" w:rsidP="00CD1BFA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>28</w:t>
            </w:r>
            <w:r w:rsidR="00411038"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. </w:t>
            </w: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>фебруар</w:t>
            </w:r>
            <w:r w:rsidR="00411038"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 2021. године;</w:t>
            </w:r>
          </w:p>
        </w:tc>
      </w:tr>
      <w:tr w:rsidR="00411038" w:rsidRPr="00A87C38" w:rsidTr="000E5537">
        <w:trPr>
          <w:jc w:val="center"/>
        </w:trPr>
        <w:tc>
          <w:tcPr>
            <w:tcW w:w="1174" w:type="dxa"/>
          </w:tcPr>
          <w:p w:rsidR="00411038" w:rsidRPr="002413D2" w:rsidRDefault="00411038" w:rsidP="0041103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411038" w:rsidRPr="00886B8C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886B8C">
              <w:rPr>
                <w:rFonts w:asciiTheme="minorHAnsi" w:hAnsiTheme="minorHAnsi" w:cstheme="minorHAnsi"/>
                <w:sz w:val="22"/>
                <w:lang w:val="sr-Cyrl-BA"/>
              </w:rPr>
              <w:t>''евидентирање разграничених прихода и примљених донација, класификација бруто накнада по уговорима о привременим и повременим пословима и исказивање унапријед плаћених трошкова на рачунима активних временских разграничења врши у складу са чланом 28. став (8), 43. став (1), 36. став (9) и 20.  Правилника о контном оквиру и садржини рачуна у контном оквиру за привредна друштва, задруге, друга правна лица и предузетнике''</w:t>
            </w:r>
          </w:p>
          <w:p w:rsidR="00411038" w:rsidRPr="00886B8C" w:rsidRDefault="0041103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886B8C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886B8C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финансијске извјештаје);</w:t>
            </w:r>
          </w:p>
        </w:tc>
        <w:tc>
          <w:tcPr>
            <w:tcW w:w="3814" w:type="dxa"/>
          </w:tcPr>
          <w:p w:rsidR="00411038" w:rsidRPr="006313DC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 xml:space="preserve">Од 1. јануара 2021. године биће обезбјеђена примјена члана 28. тачка 7. Правилника о контном оквиру и садржини рачуна у контном оквиру за привредна друштва, задруге, друга правна лица и предузетнике </w:t>
            </w:r>
            <w:r w:rsidR="002E637D" w:rsidRPr="006313DC">
              <w:rPr>
                <w:rFonts w:asciiTheme="minorHAnsi" w:hAnsiTheme="minorHAnsi" w:cstheme="minorHAnsi"/>
                <w:sz w:val="22"/>
                <w:lang w:val="sr-Cyrl-BA"/>
              </w:rPr>
              <w:t xml:space="preserve">(Службени гласник РС, број 106/15) 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 xml:space="preserve">приликом евидентирања разграничених прихода и примљених донација. Овим ће бити исправљено погрешно класификовање дисконта у оквиру разграничених прихода умјесто у оквиру осталих дугорочних резервисања. </w:t>
            </w:r>
          </w:p>
          <w:p w:rsidR="00411038" w:rsidRPr="006313DC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 xml:space="preserve">У складу са чланом 43. став (1) Правилника о контном оквиру и садржини рачуна у контном оквиру за привредна друштва, задруге, друга правна лица и предузетнике биће рекласификовани трошкови услуга по уговору о привременим и повременим пословима са непроизводних услуга на нематеријалне трошкове с обзиром да имају карактер нематеријалних трошкова, односно нису препознате као производне услуге.  Такође, у </w:t>
            </w: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складу са чланом 20. извршићемо разграничење ових трошкова на периоде на које се односе. 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411038" w:rsidP="00411038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lastRenderedPageBreak/>
              <w:t xml:space="preserve">Руководилац </w:t>
            </w: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службе </w:t>
            </w:r>
            <w:r w:rsidRPr="00E73FDE">
              <w:rPr>
                <w:rFonts w:asciiTheme="minorHAnsi" w:hAnsiTheme="minorHAnsi" w:cstheme="minorHAnsi"/>
                <w:sz w:val="22"/>
                <w:lang w:val="sr-Cyrl-BA"/>
              </w:rPr>
              <w:t>рачуноводства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;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411038" w:rsidP="00411038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 2021. године;</w:t>
            </w:r>
          </w:p>
        </w:tc>
      </w:tr>
      <w:tr w:rsidR="00411038" w:rsidRPr="00A87C38" w:rsidTr="00D41FD7">
        <w:trPr>
          <w:jc w:val="center"/>
        </w:trPr>
        <w:tc>
          <w:tcPr>
            <w:tcW w:w="1174" w:type="dxa"/>
          </w:tcPr>
          <w:p w:rsidR="00411038" w:rsidRPr="002413D2" w:rsidRDefault="00411038" w:rsidP="0041103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411038" w:rsidRPr="00D3130C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D3130C">
              <w:rPr>
                <w:rFonts w:asciiTheme="minorHAnsi" w:hAnsiTheme="minorHAnsi" w:cstheme="minorHAnsi"/>
                <w:sz w:val="22"/>
                <w:lang w:val="sr-Cyrl-BA"/>
              </w:rPr>
              <w:t>''ванбилансна актива и ванбилансна пасива евидентирају у складу са чланом 62. и 63. Правилника о контном оквиру и садржини рачуна у контном оквиру за привредна друштва, задруге, друга правна лица и предузетнике''</w:t>
            </w:r>
          </w:p>
          <w:p w:rsidR="00411038" w:rsidRPr="00D3130C" w:rsidRDefault="0041103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D3130C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D3130C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финансијске извјештаје);</w:t>
            </w:r>
          </w:p>
        </w:tc>
        <w:tc>
          <w:tcPr>
            <w:tcW w:w="3814" w:type="dxa"/>
          </w:tcPr>
          <w:p w:rsidR="00411038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D3130C">
              <w:rPr>
                <w:rFonts w:asciiTheme="minorHAnsi" w:hAnsiTheme="minorHAnsi" w:cstheme="minorHAnsi"/>
                <w:sz w:val="22"/>
                <w:lang w:val="sr-Cyrl-BA"/>
              </w:rPr>
              <w:t>Од 1. јануара 2021. године биће обезбјеђена примјена члана 62. и 63. Правилника о контном оквиру и садржини рачуна у контном оквиру за привредна друштва, задруге, друга правна лица и предузетнике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.</w:t>
            </w:r>
          </w:p>
          <w:p w:rsidR="00411038" w:rsidRPr="00D3130C" w:rsidRDefault="00411038" w:rsidP="00430834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>Након усвајања Елабората о попису биће извршено</w:t>
            </w:r>
            <w:r w:rsidR="00430834">
              <w:rPr>
                <w:rFonts w:asciiTheme="minorHAnsi" w:hAnsiTheme="minorHAnsi" w:cstheme="minorHAnsi"/>
                <w:sz w:val="22"/>
                <w:lang w:val="sr-Cyrl-BA"/>
              </w:rPr>
              <w:t xml:space="preserve"> увођење ванбилансних позиција.;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D3130C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D3130C">
              <w:rPr>
                <w:rFonts w:asciiTheme="minorHAnsi" w:hAnsiTheme="minorHAnsi" w:cstheme="minorHAnsi"/>
                <w:sz w:val="22"/>
                <w:lang w:val="sr-Cyrl-BA"/>
              </w:rPr>
              <w:t xml:space="preserve">Руководилац </w:t>
            </w:r>
            <w:r w:rsidRPr="00E73FDE">
              <w:rPr>
                <w:rFonts w:asciiTheme="minorHAnsi" w:hAnsiTheme="minorHAnsi" w:cstheme="minorHAnsi"/>
                <w:sz w:val="22"/>
                <w:lang w:val="sr-Cyrl-BA"/>
              </w:rPr>
              <w:t>рачуноводства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;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411038" w:rsidP="00411038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 2021. године;</w:t>
            </w:r>
          </w:p>
        </w:tc>
      </w:tr>
      <w:tr w:rsidR="00411038" w:rsidRPr="00A87C38" w:rsidTr="00301571">
        <w:trPr>
          <w:jc w:val="center"/>
        </w:trPr>
        <w:tc>
          <w:tcPr>
            <w:tcW w:w="1174" w:type="dxa"/>
          </w:tcPr>
          <w:p w:rsidR="00411038" w:rsidRPr="002413D2" w:rsidRDefault="00411038" w:rsidP="0041103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411038" w:rsidRPr="00F958D9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F958D9">
              <w:rPr>
                <w:rFonts w:asciiTheme="minorHAnsi" w:hAnsiTheme="minorHAnsi" w:cstheme="minorHAnsi"/>
                <w:sz w:val="22"/>
                <w:lang w:val="sr-Cyrl-BA"/>
              </w:rPr>
              <w:t>''накнадно признавања дугорочних пласмана врши у складу са чланом 43. став (2) Правилника о рачуноводственим политикама Мјешовитог Холдинга “Електропривреда Републике Српске” и параграфом 47 МРС 39 Финансијски инструменти: признавање и мјерење''</w:t>
            </w:r>
          </w:p>
          <w:p w:rsidR="00411038" w:rsidRPr="00F958D9" w:rsidRDefault="0041103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F958D9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F958D9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финансијске извјештаје);</w:t>
            </w:r>
          </w:p>
        </w:tc>
        <w:tc>
          <w:tcPr>
            <w:tcW w:w="3814" w:type="dxa"/>
          </w:tcPr>
          <w:p w:rsidR="00411038" w:rsidRPr="00F958D9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У складу са новим Правилником о рачуноводственим политикама Мјешовитог Холдинга ''Електропривреда Републике Српске'' број НО-02/1-50-674-20 од 30.12.2020. године дугорочни пласмани и  дугорочно репрограмирана потраживања од купаца  одмјераваће се по амортизованој вриједности уз испуњење задатих услова чланом 95. став (1) тачка (2) и (3), а преносом краткорочних потраживања на дугорочни репрограмирана потраживања вршиће се тест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обезвређења, разлика новоутврђене исправке вриједности дугорочних потраживања евидентираће се кроз биланс успјеха. Иначе, процјена наплате дугорочно репрограмираних потраживања по основу закључених уговора о репрограму од купаца подлијеже тестирању по основу обезвријеђења у складу са МСФИ 9 чија ће прва примјена бити проведена у 2021. години.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D3130C" w:rsidRDefault="00411038" w:rsidP="0041103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D3130C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Руководилац </w:t>
            </w:r>
            <w:r w:rsidRPr="00E73FDE">
              <w:rPr>
                <w:rFonts w:asciiTheme="minorHAnsi" w:hAnsiTheme="minorHAnsi" w:cstheme="minorHAnsi"/>
                <w:sz w:val="22"/>
                <w:lang w:val="sr-Cyrl-BA"/>
              </w:rPr>
              <w:t>рачуноводства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,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38" w:rsidRPr="00422BD7" w:rsidRDefault="00411038" w:rsidP="00411038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 w:rsidRPr="00422BD7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 2021. године;</w:t>
            </w:r>
          </w:p>
        </w:tc>
      </w:tr>
      <w:tr w:rsidR="00274228" w:rsidRPr="00A87C38" w:rsidTr="00D41FD7">
        <w:trPr>
          <w:jc w:val="center"/>
        </w:trPr>
        <w:tc>
          <w:tcPr>
            <w:tcW w:w="1174" w:type="dxa"/>
          </w:tcPr>
          <w:p w:rsidR="00274228" w:rsidRPr="002413D2" w:rsidRDefault="00274228" w:rsidP="002742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274228" w:rsidRPr="00476A5B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476A5B">
              <w:rPr>
                <w:rFonts w:asciiTheme="minorHAnsi" w:hAnsiTheme="minorHAnsi" w:cstheme="minorHAnsi"/>
                <w:sz w:val="22"/>
                <w:lang w:val="sr-Cyrl-BA"/>
              </w:rPr>
              <w:t>''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да се </w:t>
            </w:r>
            <w:r w:rsidRPr="00476A5B">
              <w:rPr>
                <w:rFonts w:asciiTheme="minorHAnsi" w:hAnsiTheme="minorHAnsi" w:cstheme="minorHAnsi"/>
                <w:sz w:val="22"/>
                <w:lang w:val="sr-Cyrl-BA"/>
              </w:rPr>
              <w:t>приходи и расходи признају у периодима на које се односе''</w:t>
            </w:r>
          </w:p>
          <w:p w:rsidR="00274228" w:rsidRPr="00476A5B" w:rsidRDefault="0027422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476A5B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476A5B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финансијске извјештаје);</w:t>
            </w:r>
          </w:p>
        </w:tc>
        <w:tc>
          <w:tcPr>
            <w:tcW w:w="3814" w:type="dxa"/>
          </w:tcPr>
          <w:p w:rsidR="00274228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CS"/>
              </w:rPr>
            </w:pP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 xml:space="preserve">Од 1. јануара 2021. године биће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обезбјеђена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примјена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параграфа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ЦЉ17</w:t>
            </w:r>
            <w:r w:rsidRPr="006313DC">
              <w:rPr>
                <w:rFonts w:asciiTheme="minorHAnsi" w:hAnsiTheme="minorHAnsi" w:cstheme="minorHAnsi"/>
                <w:sz w:val="22"/>
                <w:lang w:val="sr-Cyrl-CS"/>
              </w:rPr>
              <w:t xml:space="preserve"> Концептуалног оквира за финансијско извјештавање (''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Обрачунска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основа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рачуноводства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описује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ефекте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трансакција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и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других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догађаја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и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околности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на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економске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ресурсе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и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захт</w:t>
            </w:r>
            <w:proofErr w:type="spellEnd"/>
            <w:r w:rsidR="006313DC" w:rsidRPr="006313DC">
              <w:rPr>
                <w:rFonts w:asciiTheme="minorHAnsi" w:hAnsiTheme="minorHAnsi" w:cstheme="minorHAnsi"/>
                <w:sz w:val="22"/>
                <w:lang w:val="sr-Cyrl-BA"/>
              </w:rPr>
              <w:t>ј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еве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од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изв</w:t>
            </w:r>
            <w:proofErr w:type="spellEnd"/>
            <w:r w:rsidR="006313DC" w:rsidRPr="006313DC">
              <w:rPr>
                <w:rFonts w:asciiTheme="minorHAnsi" w:hAnsiTheme="minorHAnsi" w:cstheme="minorHAnsi"/>
                <w:sz w:val="22"/>
                <w:lang w:val="sr-Cyrl-BA"/>
              </w:rPr>
              <w:t>ј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ештајног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ентитета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у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периодима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у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којима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су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ти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ефекти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настали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чак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и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када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се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приливи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готовине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и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плаћања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догађају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у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различитим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313DC">
              <w:rPr>
                <w:rFonts w:asciiTheme="minorHAnsi" w:hAnsiTheme="minorHAnsi" w:cstheme="minorHAnsi"/>
                <w:sz w:val="22"/>
              </w:rPr>
              <w:t>периодима</w:t>
            </w:r>
            <w:proofErr w:type="spellEnd"/>
            <w:r w:rsidRPr="006313DC">
              <w:rPr>
                <w:rFonts w:asciiTheme="minorHAnsi" w:hAnsiTheme="minorHAnsi" w:cstheme="minorHAnsi"/>
                <w:sz w:val="22"/>
                <w:lang w:val="sr-Cyrl-CS"/>
              </w:rPr>
              <w:t>'');</w:t>
            </w:r>
          </w:p>
          <w:p w:rsidR="00CD1BFA" w:rsidRPr="006313DC" w:rsidRDefault="00CD1BFA" w:rsidP="00274228">
            <w:pPr>
              <w:jc w:val="both"/>
              <w:rPr>
                <w:rFonts w:asciiTheme="minorHAnsi" w:hAnsiTheme="minorHAnsi" w:cstheme="minorHAnsi"/>
                <w:sz w:val="22"/>
                <w:lang w:val="sr-Cyrl-CS"/>
              </w:rPr>
            </w:pPr>
            <w:r>
              <w:rPr>
                <w:rFonts w:asciiTheme="minorHAnsi" w:hAnsiTheme="minorHAnsi" w:cstheme="minorHAnsi"/>
                <w:sz w:val="22"/>
                <w:lang w:val="sr-Cyrl-CS"/>
              </w:rPr>
              <w:t xml:space="preserve">У нашем случају постоје системски недостаци због којих се дешава признавање трошкова у различитом периоду од периода коме припада. </w:t>
            </w:r>
            <w:r>
              <w:rPr>
                <w:rFonts w:asciiTheme="minorHAnsi" w:hAnsiTheme="minorHAnsi" w:cstheme="minorHAnsi"/>
                <w:sz w:val="22"/>
                <w:lang w:val="sr-Cyrl-CS"/>
              </w:rPr>
              <w:lastRenderedPageBreak/>
              <w:t xml:space="preserve">Креиран је и послат захтјев консултанту за САП са описом проблема. </w:t>
            </w:r>
          </w:p>
        </w:tc>
        <w:tc>
          <w:tcPr>
            <w:tcW w:w="2405" w:type="dxa"/>
          </w:tcPr>
          <w:p w:rsidR="00274228" w:rsidRPr="006313DC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Руководилац рачуноводства, </w:t>
            </w:r>
          </w:p>
        </w:tc>
        <w:tc>
          <w:tcPr>
            <w:tcW w:w="2146" w:type="dxa"/>
          </w:tcPr>
          <w:p w:rsidR="00274228" w:rsidRPr="006313DC" w:rsidRDefault="00CD1BFA" w:rsidP="00CD1BFA">
            <w:pPr>
              <w:spacing w:line="240" w:lineRule="auto"/>
              <w:jc w:val="center"/>
              <w:rPr>
                <w:rFonts w:asciiTheme="minorHAnsi" w:hAnsiTheme="minorHAnsi" w:cstheme="minorHAnsi"/>
                <w:iCs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>28</w:t>
            </w:r>
            <w:r w:rsidR="00274228"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.</w:t>
            </w: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 фебруар</w:t>
            </w:r>
            <w:r w:rsidR="00274228"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 xml:space="preserve"> 2021. године;</w:t>
            </w:r>
          </w:p>
        </w:tc>
      </w:tr>
      <w:tr w:rsidR="00274228" w:rsidRPr="00A87C38" w:rsidTr="00D41FD7">
        <w:trPr>
          <w:jc w:val="center"/>
        </w:trPr>
        <w:tc>
          <w:tcPr>
            <w:tcW w:w="1174" w:type="dxa"/>
          </w:tcPr>
          <w:p w:rsidR="00274228" w:rsidRPr="002413D2" w:rsidRDefault="00274228" w:rsidP="002742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274228" w:rsidRPr="006476B0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476B0">
              <w:rPr>
                <w:rFonts w:asciiTheme="minorHAnsi" w:hAnsiTheme="minorHAnsi" w:cstheme="minorHAnsi"/>
                <w:sz w:val="22"/>
                <w:lang w:val="sr-Cyrl-BA"/>
              </w:rPr>
              <w:t>''Биланс токова готовине саставља у складу са чланом 10. тачка (2) и (4) и чланом 11. тачка (2) и (6) Правилника о садржини и форми образаца финансијских извјештаја за привредна друштва, задруге, друга правна лица и предузетнике''</w:t>
            </w:r>
          </w:p>
          <w:p w:rsidR="00274228" w:rsidRPr="006476B0" w:rsidRDefault="0027422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476B0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6476B0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финансијске извјештаје);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6476B0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>П</w:t>
            </w:r>
            <w:r w:rsidRPr="006476B0">
              <w:rPr>
                <w:rFonts w:asciiTheme="minorHAnsi" w:hAnsiTheme="minorHAnsi" w:cstheme="minorHAnsi"/>
                <w:sz w:val="22"/>
                <w:lang w:val="sr-Cyrl-BA"/>
              </w:rPr>
              <w:t xml:space="preserve">ри сачињавању комплетног сета финансијских извјештаја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н</w:t>
            </w:r>
            <w:r w:rsidRPr="006476B0">
              <w:rPr>
                <w:rFonts w:asciiTheme="minorHAnsi" w:hAnsiTheme="minorHAnsi" w:cstheme="minorHAnsi"/>
                <w:sz w:val="22"/>
                <w:lang w:val="sr-Cyrl-BA"/>
              </w:rPr>
              <w:t>а дан 31. децембра 2020. године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Биланс токова готовине обухватиће све позиције које се односе на члан 10. тачка (2) ...приливи готовине по основу наплаћених потраживања, као и примљени аванси од купаца у току обрачунског периода, као и позиције из става (4) остали приливи. Такође, ускладу са чланом 11. тачка (2) .. одливи по основу исплата добављачима за набавке сировина, материјала и других трошкова пословања у току обрачунског периода и остале одливе у складу са тачком (6) плаћени закуп, чланарине, плаћене акцизе, порез на додатну вриједност, пореза и доприноса који терете послодавца;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6476B0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476B0">
              <w:rPr>
                <w:rFonts w:asciiTheme="minorHAnsi" w:hAnsiTheme="minorHAnsi" w:cstheme="minorHAnsi"/>
                <w:sz w:val="22"/>
                <w:lang w:val="sr-Cyrl-BA"/>
              </w:rPr>
              <w:t>Руководилац рачуноводства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6476B0" w:rsidRDefault="00274228" w:rsidP="00274228">
            <w:pPr>
              <w:jc w:val="center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476B0">
              <w:rPr>
                <w:rFonts w:asciiTheme="minorHAnsi" w:hAnsiTheme="minorHAnsi" w:cstheme="minorHAnsi"/>
                <w:sz w:val="22"/>
                <w:lang w:val="sr-Cyrl-BA"/>
              </w:rPr>
              <w:t>28. фебруар 2021. године;</w:t>
            </w:r>
          </w:p>
        </w:tc>
      </w:tr>
      <w:tr w:rsidR="00274228" w:rsidRPr="00A87C38" w:rsidTr="00D41FD7">
        <w:trPr>
          <w:jc w:val="center"/>
        </w:trPr>
        <w:tc>
          <w:tcPr>
            <w:tcW w:w="1174" w:type="dxa"/>
          </w:tcPr>
          <w:p w:rsidR="00274228" w:rsidRPr="002413D2" w:rsidRDefault="00274228" w:rsidP="002742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274228" w:rsidRPr="00973A66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973A66">
              <w:rPr>
                <w:rFonts w:asciiTheme="minorHAnsi" w:hAnsiTheme="minorHAnsi" w:cstheme="minorHAnsi"/>
                <w:sz w:val="22"/>
                <w:lang w:val="sr-Cyrl-BA"/>
              </w:rPr>
              <w:t xml:space="preserve">''у Напоменама уз финансијске извјештаје објелодане додатне информације према </w:t>
            </w:r>
            <w:r w:rsidRPr="00973A66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>параграфу 112 (ц) МРС 1 Презентација финансијских извјештаја''</w:t>
            </w:r>
          </w:p>
          <w:p w:rsidR="00274228" w:rsidRPr="00973A66" w:rsidRDefault="0027422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973A66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973A66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финансијске извјештаје);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973A66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973A66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На дан 31. децембра 2020. године при сачињавању комплетног сета финансијских извјештаја Напомене (Ноте) уз финансијске извјештаје ће </w:t>
            </w:r>
            <w:r w:rsidRPr="00973A66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>садржавати све релевантне информације за разум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>ијевање финансијских извјештаја с посебним освртом на параграф 112 (ц) МРС 1 Презентација финансијских извјештаја;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973A66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973A66"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>Руководилац рачуноводства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973A66" w:rsidRDefault="00274228" w:rsidP="00274228">
            <w:pPr>
              <w:jc w:val="center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973A66">
              <w:rPr>
                <w:rFonts w:asciiTheme="minorHAnsi" w:hAnsiTheme="minorHAnsi" w:cstheme="minorHAnsi"/>
                <w:sz w:val="22"/>
                <w:lang w:val="sr-Cyrl-BA"/>
              </w:rPr>
              <w:t>28. фебруар 2021. године;</w:t>
            </w:r>
          </w:p>
        </w:tc>
      </w:tr>
      <w:tr w:rsidR="00274228" w:rsidRPr="00A87C38" w:rsidTr="005040D6">
        <w:trPr>
          <w:jc w:val="center"/>
        </w:trPr>
        <w:tc>
          <w:tcPr>
            <w:tcW w:w="1174" w:type="dxa"/>
          </w:tcPr>
          <w:p w:rsidR="00274228" w:rsidRPr="002413D2" w:rsidRDefault="00274228" w:rsidP="002742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274228" w:rsidRPr="007057A3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 xml:space="preserve">''да се уговорене плате одређују у складу са Закључком Мјешовитог холдинга „Електропривреда Републике Српске“ а.д. Требиње'' </w:t>
            </w:r>
          </w:p>
          <w:p w:rsidR="00274228" w:rsidRPr="007057A3" w:rsidRDefault="0027422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усклађеност пословања);</w:t>
            </w:r>
          </w:p>
        </w:tc>
        <w:tc>
          <w:tcPr>
            <w:tcW w:w="3814" w:type="dxa"/>
          </w:tcPr>
          <w:p w:rsidR="00274228" w:rsidRPr="007057A3" w:rsidRDefault="00274228" w:rsidP="001B37A3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>Од 1. јануара 20201.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 </w:t>
            </w: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 xml:space="preserve">године биће обезбјеђена примјена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Закључка </w:t>
            </w:r>
            <w:r w:rsidR="001B37A3">
              <w:rPr>
                <w:rFonts w:asciiTheme="minorHAnsi" w:hAnsiTheme="minorHAnsi" w:cstheme="minorHAnsi"/>
                <w:sz w:val="22"/>
                <w:lang w:val="sr-Cyrl-BA"/>
              </w:rPr>
              <w:t xml:space="preserve">Владе Републике Српске о умањењу уговорених плата и плата руководећих радника Холдинга од 13.02.2013. године. </w:t>
            </w:r>
          </w:p>
        </w:tc>
        <w:tc>
          <w:tcPr>
            <w:tcW w:w="2405" w:type="dxa"/>
          </w:tcPr>
          <w:p w:rsidR="00274228" w:rsidRPr="007057A3" w:rsidRDefault="00274228" w:rsidP="00CD1BFA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Надзорни одбор, </w:t>
            </w:r>
            <w:r w:rsidR="00CD1BFA">
              <w:rPr>
                <w:rFonts w:asciiTheme="minorHAnsi" w:hAnsiTheme="minorHAnsi" w:cstheme="minorHAnsi"/>
                <w:sz w:val="22"/>
                <w:lang w:val="sr-Cyrl-BA"/>
              </w:rPr>
              <w:t>Управа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D3130C" w:rsidRDefault="00274228" w:rsidP="004169C5">
            <w:pPr>
              <w:jc w:val="center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D3130C">
              <w:rPr>
                <w:rFonts w:asciiTheme="minorHAnsi" w:hAnsiTheme="minorHAnsi" w:cstheme="minorHAnsi"/>
                <w:sz w:val="22"/>
                <w:lang w:val="sr-Cyrl-BA"/>
              </w:rPr>
              <w:t xml:space="preserve">1. </w:t>
            </w:r>
            <w:r w:rsidR="004169C5">
              <w:rPr>
                <w:rFonts w:asciiTheme="minorHAnsi" w:hAnsiTheme="minorHAnsi" w:cstheme="minorHAnsi"/>
                <w:sz w:val="22"/>
                <w:lang w:val="sr-Cyrl-BA"/>
              </w:rPr>
              <w:t>април</w:t>
            </w:r>
            <w:r w:rsidRPr="00D3130C">
              <w:rPr>
                <w:rFonts w:asciiTheme="minorHAnsi" w:hAnsiTheme="minorHAnsi" w:cstheme="minorHAnsi"/>
                <w:sz w:val="22"/>
                <w:lang w:val="sr-Cyrl-BA"/>
              </w:rPr>
              <w:t xml:space="preserve"> 2021. године;</w:t>
            </w:r>
          </w:p>
        </w:tc>
      </w:tr>
      <w:tr w:rsidR="00274228" w:rsidRPr="00A87C38" w:rsidTr="00D41FD7">
        <w:trPr>
          <w:jc w:val="center"/>
        </w:trPr>
        <w:tc>
          <w:tcPr>
            <w:tcW w:w="1174" w:type="dxa"/>
          </w:tcPr>
          <w:p w:rsidR="00274228" w:rsidRPr="002413D2" w:rsidRDefault="00274228" w:rsidP="002742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274228" w:rsidRPr="007057A3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>''доношење интерног акта о признавању права и висине накнаде за коришћење мобилних телефона, као и расхода репрезентације''</w:t>
            </w:r>
          </w:p>
          <w:p w:rsidR="00274228" w:rsidRPr="007057A3" w:rsidRDefault="00274228" w:rsidP="005775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 xml:space="preserve">страна </w:t>
            </w:r>
            <w:r w:rsidR="005775FC">
              <w:rPr>
                <w:rFonts w:asciiTheme="minorHAnsi" w:hAnsiTheme="minorHAnsi" w:cstheme="minorHAnsi"/>
                <w:sz w:val="22"/>
                <w:lang w:val="sr-Latn-BA"/>
              </w:rPr>
              <w:t>6</w:t>
            </w: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>. (Резиме датих препорука - Препоруке везане за усклађеност пословања);</w:t>
            </w:r>
          </w:p>
        </w:tc>
        <w:tc>
          <w:tcPr>
            <w:tcW w:w="3814" w:type="dxa"/>
          </w:tcPr>
          <w:p w:rsidR="00274228" w:rsidRPr="007057A3" w:rsidRDefault="0027422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7057A3">
              <w:rPr>
                <w:rFonts w:asciiTheme="minorHAnsi" w:hAnsiTheme="minorHAnsi" w:cstheme="minorHAnsi"/>
                <w:sz w:val="22"/>
                <w:lang w:val="sr-Cyrl-BA"/>
              </w:rPr>
              <w:t xml:space="preserve">У току је доношење интерног акта о признавању права и висине накнаде за коришћење мобилних телефона, као и расхода репрезентације.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7057A3" w:rsidRDefault="00CD1BFA" w:rsidP="00CD1BFA">
            <w:pPr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>Управа, Извршни директор за послове подршке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28" w:rsidRPr="007057A3" w:rsidRDefault="00274228" w:rsidP="00274228">
            <w:pPr>
              <w:jc w:val="center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sz w:val="22"/>
                <w:lang w:val="sr-Cyrl-BA"/>
              </w:rPr>
              <w:t>28. фебруар 2021. године;</w:t>
            </w:r>
          </w:p>
        </w:tc>
      </w:tr>
      <w:tr w:rsidR="00424788" w:rsidRPr="00A87C38" w:rsidTr="00D41FD7">
        <w:trPr>
          <w:jc w:val="center"/>
        </w:trPr>
        <w:tc>
          <w:tcPr>
            <w:tcW w:w="1174" w:type="dxa"/>
          </w:tcPr>
          <w:p w:rsidR="00424788" w:rsidRPr="002413D2" w:rsidRDefault="00424788" w:rsidP="0027422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4410" w:type="dxa"/>
          </w:tcPr>
          <w:p w:rsidR="00424788" w:rsidRPr="007057A3" w:rsidRDefault="0042478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 xml:space="preserve">''предузеће није уредило систем интерних контрола према дијелу одредби Закона о систему интерних финансијских контрола у јавном сектору Републике Српске и Упутства о начину и поступку успостављања и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>спровођења система финансијског управљања и контроле (''Службени гласник Републике Српске'' бр. 99/17)''</w:t>
            </w:r>
          </w:p>
        </w:tc>
        <w:tc>
          <w:tcPr>
            <w:tcW w:w="3814" w:type="dxa"/>
          </w:tcPr>
          <w:p w:rsidR="00424788" w:rsidRPr="007057A3" w:rsidRDefault="00424788" w:rsidP="00274228">
            <w:pPr>
              <w:jc w:val="both"/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У току је процес успостављања недостигнутог нивоа развоја система интерних финансијских контрола и у току су активности везане за успостављање система финансијског </w:t>
            </w: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 xml:space="preserve">управљања и контроле чије је увођење условљено активностима реорганизације Предузећа.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88" w:rsidRDefault="00424788" w:rsidP="00CD1BFA">
            <w:pPr>
              <w:rPr>
                <w:rFonts w:asciiTheme="minorHAnsi" w:hAnsiTheme="minorHAnsi" w:cstheme="minorHAnsi"/>
                <w:sz w:val="22"/>
                <w:lang w:val="sr-Cyrl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lastRenderedPageBreak/>
              <w:t>Управа, Директор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88" w:rsidRPr="006313DC" w:rsidRDefault="00264F4E" w:rsidP="00274228">
            <w:pPr>
              <w:jc w:val="center"/>
              <w:rPr>
                <w:rFonts w:asciiTheme="minorHAnsi" w:hAnsiTheme="minorHAnsi" w:cstheme="minorHAnsi"/>
                <w:sz w:val="22"/>
                <w:lang w:val="sr-Cyrl-BA"/>
              </w:rPr>
            </w:pPr>
            <w:r w:rsidRPr="006313DC">
              <w:rPr>
                <w:rFonts w:asciiTheme="minorHAnsi" w:hAnsiTheme="minorHAnsi" w:cstheme="minorHAnsi"/>
                <w:iCs/>
                <w:sz w:val="22"/>
                <w:lang w:val="sr-Cyrl-CS"/>
              </w:rPr>
              <w:t xml:space="preserve">Почевши од </w:t>
            </w:r>
            <w:r w:rsidRPr="006313DC">
              <w:rPr>
                <w:rFonts w:asciiTheme="minorHAnsi" w:hAnsiTheme="minorHAnsi" w:cstheme="minorHAnsi"/>
                <w:iCs/>
                <w:sz w:val="22"/>
                <w:lang w:val="sr-Cyrl-BA"/>
              </w:rPr>
              <w:t>1. јануара 2021. године, те током пословних година</w:t>
            </w:r>
            <w:r>
              <w:rPr>
                <w:rFonts w:asciiTheme="minorHAnsi" w:hAnsiTheme="minorHAnsi" w:cstheme="minorHAnsi"/>
                <w:iCs/>
                <w:sz w:val="22"/>
                <w:lang w:val="sr-Cyrl-BA"/>
              </w:rPr>
              <w:t>;</w:t>
            </w:r>
          </w:p>
        </w:tc>
      </w:tr>
    </w:tbl>
    <w:p w:rsidR="00307309" w:rsidRDefault="00307309" w:rsidP="00A87C38">
      <w:pPr>
        <w:spacing w:line="240" w:lineRule="auto"/>
        <w:jc w:val="center"/>
        <w:rPr>
          <w:rFonts w:asciiTheme="minorHAnsi" w:hAnsiTheme="minorHAnsi" w:cstheme="minorHAnsi"/>
        </w:rPr>
      </w:pPr>
    </w:p>
    <w:p w:rsidR="00307309" w:rsidRDefault="00307309" w:rsidP="00A87C38">
      <w:pPr>
        <w:spacing w:line="240" w:lineRule="auto"/>
        <w:jc w:val="center"/>
        <w:rPr>
          <w:rFonts w:asciiTheme="minorHAnsi" w:hAnsiTheme="minorHAnsi" w:cstheme="minorHAnsi"/>
        </w:rPr>
      </w:pPr>
    </w:p>
    <w:p w:rsidR="00A21E66" w:rsidRDefault="00A21E66" w:rsidP="00A21E66">
      <w:pPr>
        <w:spacing w:line="240" w:lineRule="auto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 xml:space="preserve">                      Израдио </w:t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  <w:t xml:space="preserve">    </w:t>
      </w:r>
      <w:bookmarkStart w:id="0" w:name="_GoBack"/>
      <w:bookmarkEnd w:id="0"/>
      <w:r>
        <w:rPr>
          <w:rFonts w:asciiTheme="minorHAnsi" w:hAnsiTheme="minorHAnsi" w:cstheme="minorHAnsi"/>
          <w:lang w:val="sr-Cyrl-BA"/>
        </w:rPr>
        <w:t>Одобрио</w:t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  <w:t xml:space="preserve">  в.д. Директор</w:t>
      </w:r>
    </w:p>
    <w:p w:rsidR="00A21E66" w:rsidRDefault="00A21E66" w:rsidP="00A21E66">
      <w:pPr>
        <w:spacing w:line="240" w:lineRule="auto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>Маријана Обреновић, дипл.ецц</w:t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  <w:t xml:space="preserve">    Татјана Гајић, дипл. ецц.</w:t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  <w:t xml:space="preserve">                        др Васо Арсеновић</w:t>
      </w:r>
    </w:p>
    <w:p w:rsidR="00A21E66" w:rsidRDefault="00A21E66" w:rsidP="00A21E66">
      <w:pPr>
        <w:spacing w:line="240" w:lineRule="auto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>.......................................................</w:t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  <w:t>................................................</w:t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  <w:t>...................................................</w:t>
      </w:r>
    </w:p>
    <w:p w:rsidR="00307309" w:rsidRPr="00A21E66" w:rsidRDefault="00A21E66" w:rsidP="00A21E66">
      <w:pPr>
        <w:spacing w:line="240" w:lineRule="auto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  <w:r>
        <w:rPr>
          <w:rFonts w:asciiTheme="minorHAnsi" w:hAnsiTheme="minorHAnsi" w:cstheme="minorHAnsi"/>
          <w:lang w:val="sr-Cyrl-BA"/>
        </w:rPr>
        <w:tab/>
      </w:r>
    </w:p>
    <w:p w:rsidR="00307309" w:rsidRDefault="00307309" w:rsidP="00A87C38">
      <w:pPr>
        <w:spacing w:line="240" w:lineRule="auto"/>
        <w:jc w:val="center"/>
        <w:rPr>
          <w:rFonts w:asciiTheme="minorHAnsi" w:hAnsiTheme="minorHAnsi" w:cstheme="minorHAnsi"/>
        </w:rPr>
      </w:pPr>
    </w:p>
    <w:p w:rsidR="00A87C38" w:rsidRPr="00A87C38" w:rsidRDefault="00A87C38" w:rsidP="00A87C38">
      <w:pPr>
        <w:spacing w:line="240" w:lineRule="auto"/>
        <w:jc w:val="center"/>
        <w:rPr>
          <w:rFonts w:asciiTheme="minorHAnsi" w:hAnsiTheme="minorHAnsi" w:cstheme="minorHAnsi"/>
        </w:rPr>
      </w:pPr>
    </w:p>
    <w:sectPr w:rsidR="00A87C38" w:rsidRPr="00A87C38" w:rsidSect="00FF4F7C">
      <w:pgSz w:w="16839" w:h="11907" w:orient="landscape" w:code="9"/>
      <w:pgMar w:top="1440" w:right="1440" w:bottom="1440" w:left="1440" w:header="461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41B" w:rsidRDefault="0015441B" w:rsidP="00FE466D">
      <w:pPr>
        <w:spacing w:after="0" w:line="240" w:lineRule="auto"/>
      </w:pPr>
      <w:r>
        <w:separator/>
      </w:r>
    </w:p>
  </w:endnote>
  <w:endnote w:type="continuationSeparator" w:id="0">
    <w:p w:rsidR="0015441B" w:rsidRDefault="0015441B" w:rsidP="00FE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13" w:rsidRDefault="00890AD3">
    <w:pPr>
      <w:pStyle w:val="Footer"/>
    </w:pPr>
    <w:r>
      <w:rPr>
        <w:noProof/>
      </w:rPr>
      <w:drawing>
        <wp:inline distT="0" distB="0" distL="0" distR="0" wp14:anchorId="2D89133D" wp14:editId="7EB3DF27">
          <wp:extent cx="5732145" cy="512445"/>
          <wp:effectExtent l="0" t="0" r="1905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d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0A1" w:rsidRDefault="00545D13" w:rsidP="00D04BD5">
    <w:pPr>
      <w:pStyle w:val="Footer"/>
      <w:tabs>
        <w:tab w:val="left" w:pos="-450"/>
      </w:tabs>
      <w:rPr>
        <w:noProof/>
      </w:rPr>
    </w:pPr>
    <w:r>
      <w:rPr>
        <w:noProof/>
      </w:rPr>
      <w:drawing>
        <wp:inline distT="0" distB="0" distL="0" distR="0">
          <wp:extent cx="5732145" cy="512445"/>
          <wp:effectExtent l="0" t="0" r="190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d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3F9" w:rsidRDefault="00C573F9" w:rsidP="00D04BD5">
    <w:pPr>
      <w:pStyle w:val="Footer"/>
      <w:tabs>
        <w:tab w:val="left" w:pos="-4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41B" w:rsidRDefault="0015441B" w:rsidP="00FE466D">
      <w:pPr>
        <w:spacing w:after="0" w:line="240" w:lineRule="auto"/>
      </w:pPr>
      <w:r>
        <w:separator/>
      </w:r>
    </w:p>
  </w:footnote>
  <w:footnote w:type="continuationSeparator" w:id="0">
    <w:p w:rsidR="0015441B" w:rsidRDefault="0015441B" w:rsidP="00FE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13" w:rsidRPr="00890AD3" w:rsidRDefault="00890AD3" w:rsidP="00890AD3">
    <w:pPr>
      <w:pStyle w:val="Header"/>
    </w:pPr>
    <w:r>
      <w:rPr>
        <w:b/>
        <w:noProof/>
        <w:sz w:val="20"/>
        <w:szCs w:val="20"/>
      </w:rPr>
      <w:drawing>
        <wp:inline distT="0" distB="0" distL="0" distR="0" wp14:anchorId="39D65EF5" wp14:editId="7005B8F0">
          <wp:extent cx="5732145" cy="714375"/>
          <wp:effectExtent l="0" t="0" r="190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211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A01" w:rsidRPr="00C573F9" w:rsidRDefault="00BF3E2A" w:rsidP="00BF3E2A">
    <w:pPr>
      <w:pStyle w:val="Header"/>
      <w:tabs>
        <w:tab w:val="clear" w:pos="4680"/>
        <w:tab w:val="clear" w:pos="9360"/>
        <w:tab w:val="center" w:pos="4500"/>
      </w:tabs>
      <w:spacing w:after="240"/>
      <w:ind w:left="-900" w:right="-873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3EB0291B" wp14:editId="0725B9CB">
          <wp:extent cx="5732145" cy="625475"/>
          <wp:effectExtent l="0" t="0" r="190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211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C61EC"/>
    <w:multiLevelType w:val="hybridMultilevel"/>
    <w:tmpl w:val="9EEA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637B"/>
    <w:multiLevelType w:val="hybridMultilevel"/>
    <w:tmpl w:val="51B63E7E"/>
    <w:lvl w:ilvl="0" w:tplc="1C1A0011">
      <w:start w:val="1"/>
      <w:numFmt w:val="decimal"/>
      <w:lvlText w:val="%1)"/>
      <w:lvlJc w:val="left"/>
      <w:pPr>
        <w:ind w:left="1141" w:hanging="360"/>
      </w:pPr>
    </w:lvl>
    <w:lvl w:ilvl="1" w:tplc="1C1A0019" w:tentative="1">
      <w:start w:val="1"/>
      <w:numFmt w:val="lowerLetter"/>
      <w:lvlText w:val="%2."/>
      <w:lvlJc w:val="left"/>
      <w:pPr>
        <w:ind w:left="1861" w:hanging="360"/>
      </w:pPr>
    </w:lvl>
    <w:lvl w:ilvl="2" w:tplc="1C1A001B" w:tentative="1">
      <w:start w:val="1"/>
      <w:numFmt w:val="lowerRoman"/>
      <w:lvlText w:val="%3."/>
      <w:lvlJc w:val="right"/>
      <w:pPr>
        <w:ind w:left="2581" w:hanging="180"/>
      </w:pPr>
    </w:lvl>
    <w:lvl w:ilvl="3" w:tplc="1C1A000F" w:tentative="1">
      <w:start w:val="1"/>
      <w:numFmt w:val="decimal"/>
      <w:lvlText w:val="%4."/>
      <w:lvlJc w:val="left"/>
      <w:pPr>
        <w:ind w:left="3301" w:hanging="360"/>
      </w:pPr>
    </w:lvl>
    <w:lvl w:ilvl="4" w:tplc="1C1A0019" w:tentative="1">
      <w:start w:val="1"/>
      <w:numFmt w:val="lowerLetter"/>
      <w:lvlText w:val="%5."/>
      <w:lvlJc w:val="left"/>
      <w:pPr>
        <w:ind w:left="4021" w:hanging="360"/>
      </w:pPr>
    </w:lvl>
    <w:lvl w:ilvl="5" w:tplc="1C1A001B" w:tentative="1">
      <w:start w:val="1"/>
      <w:numFmt w:val="lowerRoman"/>
      <w:lvlText w:val="%6."/>
      <w:lvlJc w:val="right"/>
      <w:pPr>
        <w:ind w:left="4741" w:hanging="180"/>
      </w:pPr>
    </w:lvl>
    <w:lvl w:ilvl="6" w:tplc="1C1A000F" w:tentative="1">
      <w:start w:val="1"/>
      <w:numFmt w:val="decimal"/>
      <w:lvlText w:val="%7."/>
      <w:lvlJc w:val="left"/>
      <w:pPr>
        <w:ind w:left="5461" w:hanging="360"/>
      </w:pPr>
    </w:lvl>
    <w:lvl w:ilvl="7" w:tplc="1C1A0019" w:tentative="1">
      <w:start w:val="1"/>
      <w:numFmt w:val="lowerLetter"/>
      <w:lvlText w:val="%8."/>
      <w:lvlJc w:val="left"/>
      <w:pPr>
        <w:ind w:left="6181" w:hanging="360"/>
      </w:pPr>
    </w:lvl>
    <w:lvl w:ilvl="8" w:tplc="1C1A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28B571F6"/>
    <w:multiLevelType w:val="hybridMultilevel"/>
    <w:tmpl w:val="8AFA00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A12BDC"/>
    <w:multiLevelType w:val="hybridMultilevel"/>
    <w:tmpl w:val="BBECE084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291F"/>
    <w:multiLevelType w:val="hybridMultilevel"/>
    <w:tmpl w:val="959060BA"/>
    <w:lvl w:ilvl="0" w:tplc="1C1A0011">
      <w:start w:val="1"/>
      <w:numFmt w:val="decimal"/>
      <w:lvlText w:val="%1)"/>
      <w:lvlJc w:val="left"/>
      <w:pPr>
        <w:ind w:left="720" w:hanging="360"/>
      </w:p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004E3"/>
    <w:multiLevelType w:val="hybridMultilevel"/>
    <w:tmpl w:val="19DEB4C0"/>
    <w:lvl w:ilvl="0" w:tplc="ECEA4A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A3248"/>
    <w:multiLevelType w:val="hybridMultilevel"/>
    <w:tmpl w:val="6596885A"/>
    <w:lvl w:ilvl="0" w:tplc="F0A818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A6338"/>
    <w:multiLevelType w:val="hybridMultilevel"/>
    <w:tmpl w:val="A078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F33DD"/>
    <w:multiLevelType w:val="hybridMultilevel"/>
    <w:tmpl w:val="A69C4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6358B"/>
    <w:multiLevelType w:val="hybridMultilevel"/>
    <w:tmpl w:val="3726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7B87"/>
    <w:multiLevelType w:val="hybridMultilevel"/>
    <w:tmpl w:val="BBCC1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DE53C5"/>
    <w:multiLevelType w:val="hybridMultilevel"/>
    <w:tmpl w:val="060695BC"/>
    <w:lvl w:ilvl="0" w:tplc="76E8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5F0C"/>
    <w:multiLevelType w:val="hybridMultilevel"/>
    <w:tmpl w:val="8168D37C"/>
    <w:lvl w:ilvl="0" w:tplc="76E8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F4C0E"/>
    <w:multiLevelType w:val="hybridMultilevel"/>
    <w:tmpl w:val="0BBC7A66"/>
    <w:lvl w:ilvl="0" w:tplc="5EFC801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BB45DC"/>
    <w:multiLevelType w:val="hybridMultilevel"/>
    <w:tmpl w:val="26FA9F0E"/>
    <w:lvl w:ilvl="0" w:tplc="116A8A04">
      <w:numFmt w:val="bullet"/>
      <w:lvlText w:val="-"/>
      <w:lvlJc w:val="left"/>
      <w:pPr>
        <w:ind w:left="15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6D"/>
    <w:rsid w:val="000007A4"/>
    <w:rsid w:val="00013BC4"/>
    <w:rsid w:val="00041B14"/>
    <w:rsid w:val="0008658F"/>
    <w:rsid w:val="000E2BA0"/>
    <w:rsid w:val="000E6746"/>
    <w:rsid w:val="000F1CB5"/>
    <w:rsid w:val="00123848"/>
    <w:rsid w:val="0013699F"/>
    <w:rsid w:val="00144194"/>
    <w:rsid w:val="0015441B"/>
    <w:rsid w:val="001924FE"/>
    <w:rsid w:val="001966BA"/>
    <w:rsid w:val="001B37A3"/>
    <w:rsid w:val="001D2B8F"/>
    <w:rsid w:val="00215C36"/>
    <w:rsid w:val="00220C65"/>
    <w:rsid w:val="002413D2"/>
    <w:rsid w:val="00264F4E"/>
    <w:rsid w:val="00274143"/>
    <w:rsid w:val="00274228"/>
    <w:rsid w:val="00275857"/>
    <w:rsid w:val="002A63C9"/>
    <w:rsid w:val="002E637D"/>
    <w:rsid w:val="002E75CD"/>
    <w:rsid w:val="00306A01"/>
    <w:rsid w:val="00307309"/>
    <w:rsid w:val="00311DC6"/>
    <w:rsid w:val="00332CF5"/>
    <w:rsid w:val="00343B53"/>
    <w:rsid w:val="003C66E5"/>
    <w:rsid w:val="00411038"/>
    <w:rsid w:val="004169C5"/>
    <w:rsid w:val="00417CAB"/>
    <w:rsid w:val="00422BD7"/>
    <w:rsid w:val="00424788"/>
    <w:rsid w:val="00430834"/>
    <w:rsid w:val="0046624B"/>
    <w:rsid w:val="00476A5B"/>
    <w:rsid w:val="00545D13"/>
    <w:rsid w:val="0057494E"/>
    <w:rsid w:val="005775FC"/>
    <w:rsid w:val="005A6397"/>
    <w:rsid w:val="005C3990"/>
    <w:rsid w:val="005E16BE"/>
    <w:rsid w:val="005F0667"/>
    <w:rsid w:val="0061222C"/>
    <w:rsid w:val="00625EBD"/>
    <w:rsid w:val="006313DC"/>
    <w:rsid w:val="00636871"/>
    <w:rsid w:val="006476B0"/>
    <w:rsid w:val="006535D4"/>
    <w:rsid w:val="00662E5E"/>
    <w:rsid w:val="006C1011"/>
    <w:rsid w:val="006D2CE7"/>
    <w:rsid w:val="006D3D86"/>
    <w:rsid w:val="006E5EE8"/>
    <w:rsid w:val="006F2466"/>
    <w:rsid w:val="007057A3"/>
    <w:rsid w:val="0074415D"/>
    <w:rsid w:val="00756ED9"/>
    <w:rsid w:val="00756F38"/>
    <w:rsid w:val="007812E5"/>
    <w:rsid w:val="007A7A25"/>
    <w:rsid w:val="007C341E"/>
    <w:rsid w:val="007D38B0"/>
    <w:rsid w:val="00815ABB"/>
    <w:rsid w:val="00846ABD"/>
    <w:rsid w:val="008837FB"/>
    <w:rsid w:val="00886B8C"/>
    <w:rsid w:val="00890AD3"/>
    <w:rsid w:val="008F195F"/>
    <w:rsid w:val="008F2375"/>
    <w:rsid w:val="008F5B08"/>
    <w:rsid w:val="009132E2"/>
    <w:rsid w:val="009549B9"/>
    <w:rsid w:val="00973A66"/>
    <w:rsid w:val="00982AA9"/>
    <w:rsid w:val="009924FF"/>
    <w:rsid w:val="00997C2B"/>
    <w:rsid w:val="009C4BBE"/>
    <w:rsid w:val="009D73DA"/>
    <w:rsid w:val="009F3FE5"/>
    <w:rsid w:val="00A178F8"/>
    <w:rsid w:val="00A21E66"/>
    <w:rsid w:val="00A34962"/>
    <w:rsid w:val="00A87C38"/>
    <w:rsid w:val="00AC5622"/>
    <w:rsid w:val="00AC6A5A"/>
    <w:rsid w:val="00B32CFA"/>
    <w:rsid w:val="00B441D1"/>
    <w:rsid w:val="00B965CF"/>
    <w:rsid w:val="00BA1451"/>
    <w:rsid w:val="00BA6332"/>
    <w:rsid w:val="00BC50A1"/>
    <w:rsid w:val="00BF2023"/>
    <w:rsid w:val="00BF3E2A"/>
    <w:rsid w:val="00C37858"/>
    <w:rsid w:val="00C573F9"/>
    <w:rsid w:val="00CC78F2"/>
    <w:rsid w:val="00CD1BFA"/>
    <w:rsid w:val="00CF2464"/>
    <w:rsid w:val="00CF641D"/>
    <w:rsid w:val="00CF6EBE"/>
    <w:rsid w:val="00D04BD5"/>
    <w:rsid w:val="00D13E9E"/>
    <w:rsid w:val="00D3130C"/>
    <w:rsid w:val="00D41FD7"/>
    <w:rsid w:val="00D4785F"/>
    <w:rsid w:val="00D841D2"/>
    <w:rsid w:val="00D90E5A"/>
    <w:rsid w:val="00DA50A4"/>
    <w:rsid w:val="00E15E26"/>
    <w:rsid w:val="00E51C28"/>
    <w:rsid w:val="00E562ED"/>
    <w:rsid w:val="00E73FDE"/>
    <w:rsid w:val="00E93799"/>
    <w:rsid w:val="00EF7559"/>
    <w:rsid w:val="00F06E43"/>
    <w:rsid w:val="00F17178"/>
    <w:rsid w:val="00F21C79"/>
    <w:rsid w:val="00F538F7"/>
    <w:rsid w:val="00F54665"/>
    <w:rsid w:val="00F84922"/>
    <w:rsid w:val="00F86838"/>
    <w:rsid w:val="00F958D9"/>
    <w:rsid w:val="00FB2D9E"/>
    <w:rsid w:val="00FB412E"/>
    <w:rsid w:val="00FB5B68"/>
    <w:rsid w:val="00FC03B9"/>
    <w:rsid w:val="00FC4AE7"/>
    <w:rsid w:val="00FE466D"/>
    <w:rsid w:val="00FF4F7C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130481-FCBA-49B3-A90D-9453D79F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0A4"/>
    <w:pPr>
      <w:spacing w:after="200" w:line="276" w:lineRule="auto"/>
    </w:pPr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4F7C"/>
    <w:pPr>
      <w:keepNext/>
      <w:spacing w:after="0" w:line="240" w:lineRule="auto"/>
      <w:jc w:val="center"/>
      <w:outlineLvl w:val="0"/>
    </w:pPr>
    <w:rPr>
      <w:rFonts w:ascii="Times" w:eastAsia="Times New Roman" w:hAnsi="Times"/>
      <w:b/>
      <w:color w:val="auto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6D"/>
  </w:style>
  <w:style w:type="paragraph" w:styleId="Footer">
    <w:name w:val="footer"/>
    <w:basedOn w:val="Normal"/>
    <w:link w:val="FooterChar"/>
    <w:uiPriority w:val="99"/>
    <w:unhideWhenUsed/>
    <w:rsid w:val="00FE4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66D"/>
  </w:style>
  <w:style w:type="paragraph" w:styleId="BalloonText">
    <w:name w:val="Balloon Text"/>
    <w:basedOn w:val="Normal"/>
    <w:link w:val="BalloonTextChar"/>
    <w:uiPriority w:val="99"/>
    <w:semiHidden/>
    <w:unhideWhenUsed/>
    <w:rsid w:val="00FE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66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B5B68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A178F8"/>
    <w:pPr>
      <w:spacing w:after="0" w:line="240" w:lineRule="auto"/>
      <w:jc w:val="center"/>
    </w:pPr>
    <w:rPr>
      <w:rFonts w:eastAsia="Times New Roman"/>
      <w:b/>
      <w:bCs/>
      <w:color w:val="auto"/>
      <w:sz w:val="28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A178F8"/>
    <w:rPr>
      <w:rFonts w:eastAsia="Times New Roman"/>
      <w:b/>
      <w:bCs/>
      <w:sz w:val="28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rsid w:val="00FF4F7C"/>
    <w:rPr>
      <w:rFonts w:ascii="Times" w:eastAsia="Times New Roman" w:hAnsi="Times"/>
      <w:b/>
      <w:sz w:val="24"/>
      <w:szCs w:val="24"/>
      <w:lang w:val="ru-RU" w:eastAsia="en-US"/>
    </w:rPr>
  </w:style>
  <w:style w:type="table" w:styleId="TableGrid">
    <w:name w:val="Table Grid"/>
    <w:basedOn w:val="TableNormal"/>
    <w:uiPriority w:val="59"/>
    <w:rsid w:val="00A87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"/>
    <w:basedOn w:val="Normal"/>
    <w:link w:val="ListParagraphChar"/>
    <w:uiPriority w:val="34"/>
    <w:qFormat/>
    <w:rsid w:val="00A87C38"/>
    <w:pPr>
      <w:ind w:left="720"/>
      <w:contextualSpacing/>
    </w:pPr>
  </w:style>
  <w:style w:type="character" w:customStyle="1" w:styleId="ListParagraphChar">
    <w:name w:val="List Paragraph Char"/>
    <w:aliases w:val="1 Char"/>
    <w:basedOn w:val="DefaultParagraphFont"/>
    <w:link w:val="ListParagraph"/>
    <w:uiPriority w:val="34"/>
    <w:locked/>
    <w:rsid w:val="00041B14"/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ladars.net/sr-SP-Cyrl/Vlada/Ministarstva/mf/Documents/%d0%9f%d1%80%d0%b0%d0%b2%d0%b8%d0%bb%d0%bd%d0%b8%d0%ba%20%d0%be%20%d0%b2%d1%80%d1%88%d0%b5%d1%9a%d1%83%20%d0%bf%d0%be%d0%bf%d0%b8%d1%81%d0%b0%20%d0%a1%d0%93%2045-1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E3E66-0507-4282-9258-663E7153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limun</dc:creator>
  <cp:lastModifiedBy>Marijana Josipovic</cp:lastModifiedBy>
  <cp:revision>16</cp:revision>
  <cp:lastPrinted>2021-02-22T07:09:00Z</cp:lastPrinted>
  <dcterms:created xsi:type="dcterms:W3CDTF">2021-01-22T10:26:00Z</dcterms:created>
  <dcterms:modified xsi:type="dcterms:W3CDTF">2021-02-22T07:33:00Z</dcterms:modified>
</cp:coreProperties>
</file>