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A9" w:rsidRDefault="006F1C96" w:rsidP="005A77A9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 xml:space="preserve">Број: </w:t>
      </w:r>
    </w:p>
    <w:p w:rsidR="00F268C1" w:rsidRPr="00F268C1" w:rsidRDefault="006F1C96" w:rsidP="005A77A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Датум: </w:t>
      </w: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tbl>
      <w:tblPr>
        <w:tblpPr w:leftFromText="187" w:rightFromText="187" w:vertAnchor="page" w:horzAnchor="margin" w:tblpXSpec="center" w:tblpY="2851"/>
        <w:tblW w:w="40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02"/>
      </w:tblGrid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МХ ''ЕЛЕКТРОПРИВРЕДА РС'' МП а.д. Требиње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ЗЕДП ''ЕЛЕКТРО-БИЈЕЉИНА'' а.д. БИЈЕЉИНА</w:t>
            </w:r>
          </w:p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365F91"/>
              </w:rPr>
            </w:pPr>
          </w:p>
        </w:tc>
      </w:tr>
      <w:tr w:rsidR="00596AAD" w:rsidTr="00596AAD">
        <w:trPr>
          <w:trHeight w:val="2057"/>
        </w:trPr>
        <w:tc>
          <w:tcPr>
            <w:tcW w:w="7802" w:type="dxa"/>
          </w:tcPr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</w:pPr>
          </w:p>
          <w:p w:rsidR="00596AAD" w:rsidRPr="0088405A" w:rsidRDefault="0088405A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4F81BD"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  <w:t>ПЛАН ПОСЛОВАЊА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775761" w:rsidRDefault="003B2E3C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за 20</w:t>
            </w:r>
            <w:r>
              <w:rPr>
                <w:rFonts w:ascii="Cambria" w:eastAsia="Times New Roman" w:hAnsi="Cambria" w:cs="Times New Roman"/>
                <w:b/>
                <w:color w:val="365F91"/>
                <w:sz w:val="44"/>
                <w:lang w:val="sr-Latn-BA"/>
              </w:rPr>
              <w:t>20</w:t>
            </w:r>
            <w:r w:rsidR="00596AAD" w:rsidRPr="00775761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. годину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Latn-RS"/>
              </w:rPr>
            </w:pPr>
          </w:p>
          <w:p w:rsidR="00596AAD" w:rsidRPr="00963296" w:rsidRDefault="00596AAD" w:rsidP="00DF0332">
            <w:pPr>
              <w:pStyle w:val="NoSpacing"/>
              <w:ind w:left="360"/>
              <w:rPr>
                <w:rFonts w:ascii="Cambria" w:eastAsia="Times New Roman" w:hAnsi="Cambria" w:cs="Times New Roman"/>
                <w:lang w:val="sr-Cyrl-RS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 xml:space="preserve">                                          </w:t>
            </w:r>
            <w:r w:rsidR="00D7065B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НАЦРТ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</w:p>
        </w:tc>
      </w:tr>
    </w:tbl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tabs>
          <w:tab w:val="left" w:pos="1040"/>
        </w:tabs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ab/>
      </w:r>
    </w:p>
    <w:p w:rsidR="005A77A9" w:rsidRDefault="005A77A9" w:rsidP="005A77A9">
      <w:pPr>
        <w:jc w:val="center"/>
        <w:rPr>
          <w:rFonts w:ascii="Arial" w:hAnsi="Arial" w:cs="Arial"/>
          <w:b/>
          <w:bCs/>
          <w:sz w:val="52"/>
        </w:rPr>
      </w:pPr>
    </w:p>
    <w:p w:rsidR="005A77A9" w:rsidRDefault="005A77A9" w:rsidP="005A77A9">
      <w:pPr>
        <w:jc w:val="center"/>
        <w:rPr>
          <w:rFonts w:ascii="Arial" w:hAnsi="Arial" w:cs="Arial"/>
          <w:b/>
          <w:bCs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P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Latn-R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tbl>
      <w:tblPr>
        <w:tblpPr w:leftFromText="187" w:rightFromText="187" w:vertAnchor="page" w:horzAnchor="margin" w:tblpXSpec="right" w:tblpY="12871"/>
        <w:tblW w:w="2795" w:type="pct"/>
        <w:tblLook w:val="04A0" w:firstRow="1" w:lastRow="0" w:firstColumn="1" w:lastColumn="0" w:noHBand="0" w:noVBand="1"/>
      </w:tblPr>
      <w:tblGrid>
        <w:gridCol w:w="5361"/>
      </w:tblGrid>
      <w:tr w:rsidR="00BE77AE" w:rsidRPr="00522865" w:rsidTr="00BE77AE">
        <w:tc>
          <w:tcPr>
            <w:tcW w:w="536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6F1C96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  <w:r w:rsidRPr="00522865">
              <w:rPr>
                <w:b/>
                <w:color w:val="365F91"/>
                <w:sz w:val="24"/>
                <w:lang w:val="sr-Cyrl-RS"/>
              </w:rPr>
              <w:t>Бијељина</w:t>
            </w:r>
          </w:p>
          <w:p w:rsidR="00BE77AE" w:rsidRPr="00522865" w:rsidRDefault="00D7065B" w:rsidP="00BE77AE">
            <w:pPr>
              <w:pStyle w:val="NoSpacing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  <w:lang w:val="sr-Cyrl-BA"/>
              </w:rPr>
              <w:t>март</w:t>
            </w:r>
            <w:r w:rsidR="003605EC">
              <w:rPr>
                <w:b/>
                <w:color w:val="365F91"/>
                <w:sz w:val="24"/>
                <w:lang w:val="sr-Cyrl-BA"/>
              </w:rPr>
              <w:t xml:space="preserve">, </w:t>
            </w:r>
            <w:r w:rsidR="003B2E3C">
              <w:rPr>
                <w:b/>
                <w:color w:val="365F91"/>
                <w:sz w:val="24"/>
                <w:lang w:val="sr-Cyrl-RS"/>
              </w:rPr>
              <w:t>20</w:t>
            </w:r>
            <w:r w:rsidR="003B2E3C">
              <w:rPr>
                <w:b/>
                <w:color w:val="365F91"/>
                <w:sz w:val="24"/>
                <w:lang w:val="sr-Latn-BA"/>
              </w:rPr>
              <w:t>20</w:t>
            </w:r>
            <w:r w:rsidR="00BE77AE" w:rsidRPr="00522865">
              <w:rPr>
                <w:b/>
                <w:color w:val="365F91"/>
                <w:sz w:val="24"/>
                <w:lang w:val="sr-Cyrl-RS"/>
              </w:rPr>
              <w:t>.</w:t>
            </w:r>
          </w:p>
          <w:p w:rsidR="00BE77AE" w:rsidRPr="00522865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</w:p>
        </w:tc>
      </w:tr>
    </w:tbl>
    <w:p w:rsidR="00DF0332" w:rsidRDefault="00DF0332" w:rsidP="005A77A9">
      <w:pPr>
        <w:spacing w:after="200" w:line="276" w:lineRule="auto"/>
      </w:pPr>
    </w:p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Default="00DF0332" w:rsidP="00F268C1">
      <w:pPr>
        <w:tabs>
          <w:tab w:val="left" w:pos="7335"/>
        </w:tabs>
        <w:spacing w:after="120"/>
        <w:rPr>
          <w:rFonts w:asciiTheme="majorHAnsi" w:hAnsiTheme="majorHAnsi"/>
          <w:lang w:val="sr-Cyrl-BA"/>
        </w:rPr>
      </w:pPr>
      <w:r w:rsidRPr="00DF0332">
        <w:rPr>
          <w:rFonts w:asciiTheme="majorHAnsi" w:hAnsiTheme="majorHAnsi"/>
        </w:rPr>
        <w:t xml:space="preserve">                                                                                          </w:t>
      </w:r>
      <w:r>
        <w:rPr>
          <w:rFonts w:asciiTheme="majorHAnsi" w:hAnsiTheme="majorHAnsi"/>
          <w:lang w:val="sr-Cyrl-BA"/>
        </w:rPr>
        <w:t xml:space="preserve">                </w:t>
      </w:r>
      <w:r w:rsidRPr="00DF0332">
        <w:rPr>
          <w:rFonts w:asciiTheme="majorHAnsi" w:hAnsiTheme="majorHAnsi"/>
          <w:lang w:val="sr-Cyrl-BA"/>
        </w:rPr>
        <w:t>ПРЕДСЈЕДНИК СА</w:t>
      </w:r>
    </w:p>
    <w:p w:rsidR="00F268C1" w:rsidRDefault="00F268C1" w:rsidP="00F268C1">
      <w:pPr>
        <w:tabs>
          <w:tab w:val="left" w:pos="7335"/>
        </w:tabs>
        <w:spacing w:after="120"/>
        <w:jc w:val="center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                                                  Мр Милош Митровић            </w:t>
      </w:r>
    </w:p>
    <w:p w:rsidR="00F268C1" w:rsidRDefault="00F268C1" w:rsidP="00F268C1">
      <w:pPr>
        <w:tabs>
          <w:tab w:val="left" w:pos="7335"/>
        </w:tabs>
        <w:jc w:val="center"/>
        <w:rPr>
          <w:rFonts w:asciiTheme="majorHAnsi" w:hAnsiTheme="majorHAnsi"/>
          <w:lang w:val="sr-Cyrl-BA"/>
        </w:rPr>
      </w:pPr>
    </w:p>
    <w:p w:rsidR="00F268C1" w:rsidRPr="00DF0332" w:rsidRDefault="00F268C1" w:rsidP="00F268C1">
      <w:pPr>
        <w:tabs>
          <w:tab w:val="left" w:pos="7335"/>
        </w:tabs>
        <w:jc w:val="center"/>
        <w:rPr>
          <w:rFonts w:asciiTheme="majorHAnsi" w:hAnsiTheme="majorHAnsi"/>
          <w:lang w:val="sr-Cyrl-BA"/>
        </w:rPr>
      </w:pPr>
    </w:p>
    <w:p w:rsidR="00DF0332" w:rsidRDefault="00DF0332" w:rsidP="00DF0332">
      <w:pPr>
        <w:tabs>
          <w:tab w:val="left" w:pos="5295"/>
        </w:tabs>
        <w:spacing w:after="200" w:line="276" w:lineRule="auto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.........................................................</w:t>
      </w:r>
    </w:p>
    <w:p w:rsidR="00F268C1" w:rsidRPr="00DF0332" w:rsidRDefault="00F268C1" w:rsidP="00DF0332">
      <w:pPr>
        <w:tabs>
          <w:tab w:val="left" w:pos="5295"/>
        </w:tabs>
        <w:spacing w:after="200" w:line="276" w:lineRule="auto"/>
        <w:rPr>
          <w:lang w:val="sr-Cyrl-BA"/>
        </w:rPr>
      </w:pPr>
    </w:p>
    <w:p w:rsidR="00C4341F" w:rsidRPr="008403BA" w:rsidRDefault="005A77A9" w:rsidP="008403BA">
      <w:pPr>
        <w:spacing w:after="200" w:line="276" w:lineRule="auto"/>
        <w:rPr>
          <w:lang w:val="sr-Cyrl-CS"/>
        </w:rPr>
      </w:pPr>
      <w:r w:rsidRPr="00DF0332"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667714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55C6A" w:rsidRPr="00555C6A" w:rsidRDefault="00555C6A">
          <w:pPr>
            <w:pStyle w:val="TOCHeading"/>
            <w:rPr>
              <w:lang w:val="sr-Cyrl-CS"/>
            </w:rPr>
          </w:pPr>
          <w:r>
            <w:rPr>
              <w:lang w:val="sr-Cyrl-CS"/>
            </w:rPr>
            <w:t>Садржај</w:t>
          </w:r>
        </w:p>
        <w:p w:rsidR="005E6104" w:rsidRDefault="00555C6A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731940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УВОДНА РАЗМАТРАЊА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_Toc34731940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3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1" w:history="1">
            <w:r w:rsidR="005E6104" w:rsidRPr="00651205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Cyrl-CS" w:eastAsia="ar-SA"/>
              </w:rPr>
              <w:t>Ризици пословања</w:t>
            </w:r>
            <w:r w:rsidR="005E6104" w:rsidRPr="00651205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Latn-BA" w:eastAsia="ar-SA"/>
              </w:rPr>
              <w:t xml:space="preserve"> </w:t>
            </w:r>
            <w:r w:rsidR="005E6104" w:rsidRPr="00651205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Cyrl-BA" w:eastAsia="ar-SA"/>
              </w:rPr>
              <w:t>у контексту остварења Плана пословања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_Toc34731941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4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2" w:history="1">
            <w:r w:rsidR="005E6104" w:rsidRPr="00651205">
              <w:rPr>
                <w:rStyle w:val="Hyperlink"/>
                <w:rFonts w:ascii="Arial" w:eastAsiaTheme="minorHAnsi" w:hAnsi="Arial" w:cs="Arial"/>
                <w:noProof/>
              </w:rPr>
              <w:t>ОСНОВНИ ПЛАНСКИ ПОДАЦИ за 20</w:t>
            </w:r>
            <w:r w:rsidR="005E6104" w:rsidRPr="00651205">
              <w:rPr>
                <w:rStyle w:val="Hyperlink"/>
                <w:rFonts w:ascii="Arial" w:eastAsiaTheme="minorHAnsi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eastAsiaTheme="minorHAnsi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_Toc34731942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12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3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ЕЛЕКТРОЕНЕРГЕТСКИ БИЛАНС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ЗЕДП ''ЕЛЕКТРО-БИЈЕЉИНА'' а.д.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год.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_Toc34731943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14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4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1.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 xml:space="preserve">Принципи израде 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Cyrl-BA"/>
              </w:rPr>
              <w:t>електроенергетско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г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биланса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_Toc34731944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14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5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2.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Нето потрошња крајњих купаца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_Toc34731945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15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6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3.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Дистрибутивни губици електричне енергије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_Toc34731946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17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7" w:history="1">
            <w:r w:rsidR="005E6104" w:rsidRPr="00651205">
              <w:rPr>
                <w:rStyle w:val="Hyperlink"/>
                <w:rFonts w:ascii="Arial" w:hAnsi="Arial" w:cs="Arial"/>
                <w:noProof/>
                <w:lang w:val="sr-Latn-CS"/>
              </w:rPr>
              <w:t>4.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Бруто дистрибутивна потрошња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_Toc34731947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18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8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5.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Производња енергије у МХЕ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_Toc34731948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18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49" w:history="1">
            <w:r w:rsidR="005E6104" w:rsidRPr="00651205">
              <w:rPr>
                <w:rStyle w:val="Hyperlink"/>
                <w:rFonts w:ascii="Arial" w:hAnsi="Arial" w:cs="Arial"/>
                <w:noProof/>
                <w:lang w:val="sr-Latn-CS"/>
              </w:rPr>
              <w:t>6.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Услови и мјере за реализацију електроенергетског биланса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_Toc34731949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19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0" w:history="1">
            <w:r w:rsidR="005E6104" w:rsidRPr="00651205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ПЛАНСКИ 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БИЛАНС УСПЈЕХА ПРЕДУЗЕЋА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_Toc34731950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21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1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1.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Планирани резултат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_Toc34731951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21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2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2.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Структура укупних прихода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_Toc34731952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23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3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3.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Структура укупних расхода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_Toc34731953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26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4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ПЛАНСКИ БИЛАНС СТАЊА ПРЕДУЗЕЋА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_Toc34731954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29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5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>1.</w:t>
            </w:r>
            <w:r w:rsidR="005E6104">
              <w:rPr>
                <w:rFonts w:cstheme="minorBidi"/>
                <w:noProof/>
                <w:lang w:val="sr-Latn-BA" w:eastAsia="sr-Latn-BA"/>
              </w:rPr>
              <w:tab/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Cyrl-BA"/>
              </w:rPr>
              <w:t>Планирана а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ктива Предузећа за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_Toc34731955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29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6" w:history="1">
            <w:r w:rsidR="005E6104" w:rsidRPr="00651205">
              <w:rPr>
                <w:rStyle w:val="Hyperlink"/>
                <w:rFonts w:ascii="Arial" w:hAnsi="Arial" w:cs="Arial"/>
                <w:noProof/>
              </w:rPr>
              <w:t xml:space="preserve">ПЛАН РАДНЕ СНАГЕ 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CS"/>
              </w:rPr>
              <w:t>за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 xml:space="preserve"> 20</w:t>
            </w:r>
            <w:r w:rsidR="005E6104" w:rsidRPr="00651205">
              <w:rPr>
                <w:rStyle w:val="Hyperlink"/>
                <w:rFonts w:ascii="Arial" w:hAnsi="Arial" w:cs="Arial"/>
                <w:noProof/>
                <w:lang w:val="sr-Latn-BA"/>
              </w:rPr>
              <w:t>20</w:t>
            </w:r>
            <w:r w:rsidR="005E6104" w:rsidRPr="00651205">
              <w:rPr>
                <w:rStyle w:val="Hyperlink"/>
                <w:rFonts w:ascii="Arial" w:hAnsi="Arial" w:cs="Arial"/>
                <w:noProof/>
              </w:rPr>
              <w:t>. годину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_Toc34731956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33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E6104" w:rsidRDefault="00FB3A48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1957" w:history="1">
            <w:r w:rsidR="005E6104" w:rsidRPr="00651205">
              <w:rPr>
                <w:rStyle w:val="Hyperlink"/>
                <w:rFonts w:ascii="Calibri" w:hAnsi="Calibri"/>
                <w:noProof/>
                <w:color w:val="0000BF" w:themeColor="hyperlink" w:themeShade="BF"/>
                <w:lang w:eastAsia="ja-JP"/>
              </w:rPr>
              <w:t>ПЛАН ИНВЕСТИЦИЈА</w:t>
            </w:r>
            <w:r w:rsidR="005E6104">
              <w:rPr>
                <w:noProof/>
                <w:webHidden/>
              </w:rPr>
              <w:tab/>
            </w:r>
            <w:r w:rsidR="005E6104">
              <w:rPr>
                <w:noProof/>
                <w:webHidden/>
              </w:rPr>
              <w:fldChar w:fldCharType="begin"/>
            </w:r>
            <w:r w:rsidR="005E6104">
              <w:rPr>
                <w:noProof/>
                <w:webHidden/>
              </w:rPr>
              <w:instrText xml:space="preserve"> PAGEREF _Toc34731957 \h </w:instrText>
            </w:r>
            <w:r w:rsidR="005E6104">
              <w:rPr>
                <w:noProof/>
                <w:webHidden/>
              </w:rPr>
            </w:r>
            <w:r w:rsidR="005E6104">
              <w:rPr>
                <w:noProof/>
                <w:webHidden/>
              </w:rPr>
              <w:fldChar w:fldCharType="separate"/>
            </w:r>
            <w:r w:rsidR="008D5749">
              <w:rPr>
                <w:noProof/>
                <w:webHidden/>
              </w:rPr>
              <w:t>34</w:t>
            </w:r>
            <w:r w:rsidR="005E6104">
              <w:rPr>
                <w:noProof/>
                <w:webHidden/>
              </w:rPr>
              <w:fldChar w:fldCharType="end"/>
            </w:r>
          </w:hyperlink>
        </w:p>
        <w:p w:rsidR="00555C6A" w:rsidRDefault="00555C6A">
          <w:r>
            <w:rPr>
              <w:b/>
              <w:bCs/>
              <w:noProof/>
            </w:rPr>
            <w:fldChar w:fldCharType="end"/>
          </w:r>
        </w:p>
      </w:sdtContent>
    </w:sdt>
    <w:p w:rsidR="00BA4C92" w:rsidRDefault="00BA4C92" w:rsidP="00555C6A">
      <w:pPr>
        <w:pStyle w:val="TOCHeading"/>
      </w:pPr>
    </w:p>
    <w:p w:rsidR="00BA4C92" w:rsidRPr="00BA4C92" w:rsidRDefault="00BA4C92" w:rsidP="00BA4C92">
      <w:pPr>
        <w:pStyle w:val="TOCHeading"/>
        <w:rPr>
          <w:sz w:val="20"/>
          <w:szCs w:val="20"/>
          <w:lang w:val="sr-Cyrl-CS"/>
        </w:rPr>
      </w:pPr>
    </w:p>
    <w:p w:rsidR="00BA4C92" w:rsidRDefault="00BA4C92" w:rsidP="00BA4C92">
      <w:pPr>
        <w:pStyle w:val="TOCHeading"/>
      </w:pPr>
    </w:p>
    <w:p w:rsidR="00271103" w:rsidRDefault="00271103">
      <w:pPr>
        <w:spacing w:after="200" w:line="276" w:lineRule="auto"/>
        <w:rPr>
          <w:rFonts w:ascii="YU L Friz Quadrata" w:hAnsi="YU L Friz Quadrata"/>
          <w:lang w:val="sr-Cyrl-CS"/>
        </w:rPr>
      </w:pPr>
      <w:r>
        <w:rPr>
          <w:rFonts w:ascii="YU L Friz Quadrata" w:hAnsi="YU L Friz Quadrata"/>
          <w:lang w:val="sr-Cyrl-CS"/>
        </w:rPr>
        <w:br w:type="page"/>
      </w:r>
    </w:p>
    <w:p w:rsidR="005A77A9" w:rsidRPr="005A77A9" w:rsidRDefault="005A77A9" w:rsidP="005A77A9">
      <w:pPr>
        <w:rPr>
          <w:rFonts w:ascii="YU L Friz Quadrata" w:hAnsi="YU L Friz Quadrata"/>
          <w:lang w:val="sr-Cyrl-CS"/>
        </w:rPr>
      </w:pPr>
    </w:p>
    <w:p w:rsidR="005A77A9" w:rsidRPr="002F1DFB" w:rsidRDefault="005A77A9" w:rsidP="002F1DFB">
      <w:pPr>
        <w:pStyle w:val="Heading1"/>
        <w:jc w:val="left"/>
        <w:rPr>
          <w:rFonts w:ascii="Arial" w:hAnsi="Arial" w:cs="Arial"/>
          <w:sz w:val="24"/>
        </w:rPr>
      </w:pPr>
      <w:bookmarkStart w:id="0" w:name="_Toc481062244"/>
      <w:bookmarkStart w:id="1" w:name="_Toc505000320"/>
      <w:bookmarkStart w:id="2" w:name="_Toc505001135"/>
      <w:bookmarkStart w:id="3" w:name="_Toc505146380"/>
      <w:bookmarkStart w:id="4" w:name="_Toc506293258"/>
      <w:bookmarkStart w:id="5" w:name="_Toc506293292"/>
      <w:bookmarkStart w:id="6" w:name="_Toc506293421"/>
      <w:bookmarkStart w:id="7" w:name="_Toc34731940"/>
      <w:r w:rsidRPr="002F1DFB">
        <w:rPr>
          <w:rFonts w:ascii="Arial" w:hAnsi="Arial" w:cs="Arial"/>
          <w:sz w:val="24"/>
        </w:rPr>
        <w:t>УВОДНА РАЗМАТРАЊА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A77A9" w:rsidRPr="005A77A9" w:rsidRDefault="005A77A9" w:rsidP="005A77A9">
      <w:pPr>
        <w:pBdr>
          <w:bottom w:val="single" w:sz="12" w:space="1" w:color="auto"/>
        </w:pBdr>
        <w:rPr>
          <w:b/>
          <w:sz w:val="28"/>
          <w:szCs w:val="28"/>
          <w:lang w:val="sr-Latn-CS"/>
        </w:rPr>
      </w:pPr>
    </w:p>
    <w:p w:rsidR="005A77A9" w:rsidRPr="005A77A9" w:rsidRDefault="005A77A9" w:rsidP="005A77A9">
      <w:pPr>
        <w:rPr>
          <w:lang w:val="sr-Latn-C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CS"/>
        </w:rPr>
        <w:t xml:space="preserve">Активности на изради </w:t>
      </w:r>
      <w:r w:rsidRPr="005A77A9">
        <w:rPr>
          <w:rFonts w:ascii="Arial" w:hAnsi="Arial" w:cs="Arial"/>
          <w:sz w:val="22"/>
          <w:lang w:val="sr-Cyrl-RS"/>
        </w:rPr>
        <w:t>П</w:t>
      </w:r>
      <w:r w:rsidR="003B2E3C">
        <w:rPr>
          <w:rFonts w:ascii="Arial" w:hAnsi="Arial" w:cs="Arial"/>
          <w:sz w:val="22"/>
        </w:rPr>
        <w:t>лана пословања за 2020</w:t>
      </w:r>
      <w:r w:rsidRPr="005A77A9">
        <w:rPr>
          <w:rFonts w:ascii="Arial" w:hAnsi="Arial" w:cs="Arial"/>
          <w:sz w:val="22"/>
        </w:rPr>
        <w:t xml:space="preserve">. </w:t>
      </w:r>
      <w:proofErr w:type="gramStart"/>
      <w:r w:rsidRPr="005A77A9">
        <w:rPr>
          <w:rFonts w:ascii="Arial" w:hAnsi="Arial" w:cs="Arial"/>
          <w:sz w:val="22"/>
        </w:rPr>
        <w:t>годину</w:t>
      </w:r>
      <w:proofErr w:type="gramEnd"/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отпочеле су у </w:t>
      </w:r>
      <w:r w:rsidR="003B2E3C">
        <w:rPr>
          <w:rFonts w:ascii="Arial" w:hAnsi="Arial" w:cs="Arial"/>
          <w:sz w:val="22"/>
          <w:lang w:val="sr-Cyrl-BA"/>
        </w:rPr>
        <w:t>октобру</w:t>
      </w:r>
      <w:r w:rsidRPr="005A77A9">
        <w:rPr>
          <w:rFonts w:ascii="Arial" w:hAnsi="Arial" w:cs="Arial"/>
          <w:sz w:val="22"/>
          <w:lang w:val="sr-Cyrl-RS"/>
        </w:rPr>
        <w:t xml:space="preserve"> 201</w:t>
      </w:r>
      <w:r w:rsidR="003B2E3C">
        <w:rPr>
          <w:rFonts w:ascii="Arial" w:hAnsi="Arial" w:cs="Arial"/>
          <w:sz w:val="22"/>
          <w:lang w:val="sr-Cyrl-BA"/>
        </w:rPr>
        <w:t>9</w:t>
      </w:r>
      <w:r w:rsidRPr="005A77A9">
        <w:rPr>
          <w:rFonts w:ascii="Arial" w:hAnsi="Arial" w:cs="Arial"/>
          <w:sz w:val="22"/>
          <w:lang w:val="sr-Cyrl-RS"/>
        </w:rPr>
        <w:t>. године, када је МХ ''Електропривреда Републике Српске'' МП а.д. Требиње достави</w:t>
      </w:r>
      <w:r w:rsidRPr="005A77A9">
        <w:rPr>
          <w:rFonts w:ascii="Arial" w:hAnsi="Arial" w:cs="Arial"/>
          <w:sz w:val="22"/>
          <w:lang w:val="sr-Latn-RS"/>
        </w:rPr>
        <w:t>o</w:t>
      </w:r>
      <w:r w:rsidRPr="005A77A9">
        <w:rPr>
          <w:rFonts w:ascii="Arial" w:hAnsi="Arial" w:cs="Arial"/>
          <w:sz w:val="22"/>
          <w:lang w:val="sr-Cyrl-RS"/>
        </w:rPr>
        <w:t xml:space="preserve"> Смјернице за израду</w:t>
      </w:r>
      <w:r w:rsidR="003B2E3C">
        <w:rPr>
          <w:rFonts w:ascii="Arial" w:hAnsi="Arial" w:cs="Arial"/>
          <w:sz w:val="22"/>
          <w:lang w:val="sr-Cyrl-RS"/>
        </w:rPr>
        <w:t xml:space="preserve"> годишњег плана пословања за 2020</w:t>
      </w:r>
      <w:r w:rsidRPr="005A77A9">
        <w:rPr>
          <w:rFonts w:ascii="Arial" w:hAnsi="Arial" w:cs="Arial"/>
          <w:sz w:val="22"/>
          <w:lang w:val="sr-Cyrl-RS"/>
        </w:rPr>
        <w:t>. годину и трогодишњ</w:t>
      </w:r>
      <w:r w:rsidR="003B2E3C">
        <w:rPr>
          <w:rFonts w:ascii="Arial" w:hAnsi="Arial" w:cs="Arial"/>
          <w:sz w:val="22"/>
          <w:lang w:val="sr-Cyrl-RS"/>
        </w:rPr>
        <w:t>ег плана пословања за период 2020-2022</w:t>
      </w:r>
      <w:r w:rsidRPr="005A77A9">
        <w:rPr>
          <w:rFonts w:ascii="Arial" w:hAnsi="Arial" w:cs="Arial"/>
          <w:sz w:val="22"/>
          <w:lang w:val="sr-Cyrl-RS"/>
        </w:rPr>
        <w:t>.</w:t>
      </w:r>
      <w:r w:rsidR="00721B25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година. </w:t>
      </w:r>
    </w:p>
    <w:p w:rsidR="00196E9A" w:rsidRDefault="00196E9A" w:rsidP="005A77A9">
      <w:pPr>
        <w:jc w:val="both"/>
        <w:rPr>
          <w:rFonts w:ascii="Arial" w:hAnsi="Arial" w:cs="Arial"/>
          <w:sz w:val="22"/>
          <w:lang w:val="sr-Cyrl-RS"/>
        </w:rPr>
      </w:pPr>
    </w:p>
    <w:p w:rsidR="00196E9A" w:rsidRPr="00196E9A" w:rsidRDefault="00196E9A" w:rsidP="00196E9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96E9A">
        <w:rPr>
          <w:rFonts w:ascii="Arial" w:hAnsi="Arial" w:cs="Arial"/>
          <w:sz w:val="22"/>
          <w:szCs w:val="22"/>
          <w:lang w:val="sr-Cyrl-RS"/>
        </w:rPr>
        <w:t>Електрпенергетски бил</w:t>
      </w:r>
      <w:r>
        <w:rPr>
          <w:rFonts w:ascii="Arial" w:hAnsi="Arial" w:cs="Arial"/>
          <w:sz w:val="22"/>
          <w:szCs w:val="22"/>
          <w:lang w:val="sr-Cyrl-RS"/>
        </w:rPr>
        <w:t>анс МХ“ЕРС“ за 2020. гпдину се о</w:t>
      </w:r>
      <w:r w:rsidRPr="00196E9A">
        <w:rPr>
          <w:rFonts w:ascii="Arial" w:hAnsi="Arial" w:cs="Arial"/>
          <w:sz w:val="22"/>
          <w:szCs w:val="22"/>
          <w:lang w:val="sr-Cyrl-RS"/>
        </w:rPr>
        <w:t>ствар</w:t>
      </w:r>
      <w:r>
        <w:rPr>
          <w:rFonts w:ascii="Arial" w:hAnsi="Arial" w:cs="Arial"/>
          <w:sz w:val="22"/>
          <w:szCs w:val="22"/>
          <w:lang w:val="sr-Cyrl-RS"/>
        </w:rPr>
        <w:t>ује у условима развијеног балансно</w:t>
      </w:r>
      <w:r w:rsidRPr="00196E9A">
        <w:rPr>
          <w:rFonts w:ascii="Arial" w:hAnsi="Arial" w:cs="Arial"/>
          <w:sz w:val="22"/>
          <w:szCs w:val="22"/>
          <w:lang w:val="sr-Cyrl-RS"/>
        </w:rPr>
        <w:t>г тржишта.</w:t>
      </w:r>
      <w:r>
        <w:rPr>
          <w:rFonts w:ascii="Arial" w:hAnsi="Arial" w:cs="Arial"/>
          <w:sz w:val="22"/>
          <w:szCs w:val="22"/>
          <w:lang w:val="sr-Cyrl-RS"/>
        </w:rPr>
        <w:t xml:space="preserve"> Тржишним правилима су уређени одно</w:t>
      </w:r>
      <w:r w:rsidRPr="00196E9A">
        <w:rPr>
          <w:rFonts w:ascii="Arial" w:hAnsi="Arial" w:cs="Arial"/>
          <w:sz w:val="22"/>
          <w:szCs w:val="22"/>
          <w:lang w:val="sr-Cyrl-RS"/>
        </w:rPr>
        <w:t>си између НПС БиХ и лиценцираних учесника на тржишту електричне енергије, д</w:t>
      </w:r>
      <w:r>
        <w:rPr>
          <w:rFonts w:ascii="Arial" w:hAnsi="Arial" w:cs="Arial"/>
          <w:sz w:val="22"/>
          <w:szCs w:val="22"/>
          <w:lang w:val="sr-Cyrl-RS"/>
        </w:rPr>
        <w:t>ефинисани су тржишни учесници, обим њихових активнпсти и комерцијални односа на електроенергетско</w:t>
      </w:r>
      <w:r w:rsidRPr="00196E9A">
        <w:rPr>
          <w:rFonts w:ascii="Arial" w:hAnsi="Arial" w:cs="Arial"/>
          <w:sz w:val="22"/>
          <w:szCs w:val="22"/>
          <w:lang w:val="sr-Cyrl-RS"/>
        </w:rPr>
        <w:t>м трж</w:t>
      </w:r>
      <w:r>
        <w:rPr>
          <w:rFonts w:ascii="Arial" w:hAnsi="Arial" w:cs="Arial"/>
          <w:sz w:val="22"/>
          <w:szCs w:val="22"/>
          <w:lang w:val="sr-Cyrl-RS"/>
        </w:rPr>
        <w:t>ишту. Такође, дефинисане су обавезе које се одно</w:t>
      </w:r>
      <w:r w:rsidRPr="00196E9A">
        <w:rPr>
          <w:rFonts w:ascii="Arial" w:hAnsi="Arial" w:cs="Arial"/>
          <w:sz w:val="22"/>
          <w:szCs w:val="22"/>
          <w:lang w:val="sr-Cyrl-RS"/>
        </w:rPr>
        <w:t>се на: управљао</w:t>
      </w:r>
      <w:r>
        <w:rPr>
          <w:rFonts w:ascii="Arial" w:hAnsi="Arial" w:cs="Arial"/>
          <w:sz w:val="22"/>
          <w:szCs w:val="22"/>
          <w:lang w:val="sr-Cyrl-RS"/>
        </w:rPr>
        <w:t>е и рад механизама за балансирање, управљање спо</w:t>
      </w:r>
      <w:r w:rsidRPr="00196E9A">
        <w:rPr>
          <w:rFonts w:ascii="Arial" w:hAnsi="Arial" w:cs="Arial"/>
          <w:sz w:val="22"/>
          <w:szCs w:val="22"/>
          <w:lang w:val="sr-Cyrl-RS"/>
        </w:rPr>
        <w:t>разумима за набавку п</w:t>
      </w:r>
      <w:r>
        <w:rPr>
          <w:rFonts w:ascii="Arial" w:hAnsi="Arial" w:cs="Arial"/>
          <w:sz w:val="22"/>
          <w:szCs w:val="22"/>
          <w:lang w:val="sr-Cyrl-RS"/>
        </w:rPr>
        <w:t>омпћних услуга, обезбјеђење по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датака за </w:t>
      </w:r>
      <w:r>
        <w:rPr>
          <w:rFonts w:ascii="Arial" w:hAnsi="Arial" w:cs="Arial"/>
          <w:sz w:val="22"/>
          <w:szCs w:val="22"/>
          <w:lang w:val="sr-Cyrl-RS"/>
        </w:rPr>
        <w:t>поравнањ</w:t>
      </w:r>
      <w:r w:rsidRPr="00196E9A">
        <w:rPr>
          <w:rFonts w:ascii="Arial" w:hAnsi="Arial" w:cs="Arial"/>
          <w:sz w:val="22"/>
          <w:szCs w:val="22"/>
          <w:lang w:val="sr-Cyrl-RS"/>
        </w:rPr>
        <w:t>е е</w:t>
      </w:r>
      <w:r>
        <w:rPr>
          <w:rFonts w:ascii="Arial" w:hAnsi="Arial" w:cs="Arial"/>
          <w:sz w:val="22"/>
          <w:szCs w:val="22"/>
          <w:lang w:val="sr-Cyrl-RS"/>
        </w:rPr>
        <w:t>нергетских трансакција, управљање загушењима, као и распо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дјелу накнада и </w:t>
      </w:r>
      <w:r>
        <w:rPr>
          <w:rFonts w:ascii="Arial" w:hAnsi="Arial" w:cs="Arial"/>
          <w:sz w:val="22"/>
          <w:szCs w:val="22"/>
          <w:lang w:val="sr-Cyrl-RS"/>
        </w:rPr>
        <w:t>трошкова за нежељена одступањ</w:t>
      </w:r>
      <w:r w:rsidRPr="00196E9A">
        <w:rPr>
          <w:rFonts w:ascii="Arial" w:hAnsi="Arial" w:cs="Arial"/>
          <w:sz w:val="22"/>
          <w:szCs w:val="22"/>
          <w:lang w:val="sr-Cyrl-RS"/>
        </w:rPr>
        <w:t>а, п</w:t>
      </w:r>
      <w:r>
        <w:rPr>
          <w:rFonts w:ascii="Arial" w:hAnsi="Arial" w:cs="Arial"/>
          <w:sz w:val="22"/>
          <w:szCs w:val="22"/>
          <w:lang w:val="sr-Cyrl-RS"/>
        </w:rPr>
        <w:t>омоћне услуге и балансирањ</w:t>
      </w:r>
      <w:r w:rsidRPr="00196E9A">
        <w:rPr>
          <w:rFonts w:ascii="Arial" w:hAnsi="Arial" w:cs="Arial"/>
          <w:sz w:val="22"/>
          <w:szCs w:val="22"/>
          <w:lang w:val="sr-Cyrl-RS"/>
        </w:rPr>
        <w:t>е.</w:t>
      </w:r>
    </w:p>
    <w:p w:rsidR="00196E9A" w:rsidRPr="00196E9A" w:rsidRDefault="00196E9A" w:rsidP="00196E9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 2020. години ће на снагу ступити нови Закон о електрично</w:t>
      </w:r>
      <w:r w:rsidRPr="00196E9A">
        <w:rPr>
          <w:rFonts w:ascii="Arial" w:hAnsi="Arial" w:cs="Arial"/>
          <w:sz w:val="22"/>
          <w:szCs w:val="22"/>
          <w:lang w:val="sr-Cyrl-RS"/>
        </w:rPr>
        <w:t>ј енергији, ускла</w:t>
      </w:r>
      <w:r>
        <w:rPr>
          <w:rFonts w:ascii="Arial" w:hAnsi="Arial" w:cs="Arial"/>
          <w:sz w:val="22"/>
          <w:szCs w:val="22"/>
          <w:lang w:val="sr-Cyrl-RS"/>
        </w:rPr>
        <w:t>ђен са Tрећим енергетским пакетом, што ће изискивати усклађивање унутрашње организацијe МХ „ЕРС“ превасходно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 у дијелу к</w:t>
      </w:r>
      <w:r>
        <w:rPr>
          <w:rFonts w:ascii="Arial" w:hAnsi="Arial" w:cs="Arial"/>
          <w:sz w:val="22"/>
          <w:szCs w:val="22"/>
          <w:lang w:val="sr-Cyrl-RS"/>
        </w:rPr>
        <w:t>оји се односи на издвајање послова снабдијевања и произвпдње из садашњ</w:t>
      </w:r>
      <w:r w:rsidRPr="00196E9A">
        <w:rPr>
          <w:rFonts w:ascii="Arial" w:hAnsi="Arial" w:cs="Arial"/>
          <w:sz w:val="22"/>
          <w:szCs w:val="22"/>
          <w:lang w:val="sr-Cyrl-RS"/>
        </w:rPr>
        <w:t>их електр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196E9A">
        <w:rPr>
          <w:rFonts w:ascii="Arial" w:hAnsi="Arial" w:cs="Arial"/>
          <w:sz w:val="22"/>
          <w:szCs w:val="22"/>
          <w:lang w:val="sr-Cyrl-RS"/>
        </w:rPr>
        <w:t>дистрибуција.</w:t>
      </w:r>
    </w:p>
    <w:p w:rsidR="00196E9A" w:rsidRDefault="00196E9A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Смјернице су сачињене на основу планиране производње електричне енергије, куповине и продаје у </w:t>
      </w:r>
      <w:r w:rsidR="006C548E">
        <w:rPr>
          <w:rFonts w:ascii="Arial" w:hAnsi="Arial" w:cs="Arial"/>
          <w:sz w:val="22"/>
          <w:lang w:val="sr-Cyrl-BA"/>
        </w:rPr>
        <w:t>електроенергетским</w:t>
      </w:r>
      <w:r w:rsidRPr="005A77A9">
        <w:rPr>
          <w:rFonts w:ascii="Arial" w:hAnsi="Arial" w:cs="Arial"/>
          <w:sz w:val="22"/>
          <w:lang w:val="sr-Cyrl-RS"/>
        </w:rPr>
        <w:t xml:space="preserve"> билансима усвојеним од стране Владе РС као Скупштине акционара.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5A77A9" w:rsidRDefault="006C548E" w:rsidP="005A77A9">
      <w:pPr>
        <w:jc w:val="both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Тe</w:t>
      </w:r>
      <w:r w:rsidR="005A77A9" w:rsidRPr="005A77A9">
        <w:rPr>
          <w:rFonts w:ascii="Arial" w:hAnsi="Arial" w:cs="Arial"/>
          <w:sz w:val="22"/>
          <w:lang w:val="sr-Cyrl-RS"/>
        </w:rPr>
        <w:t>хнички дио Смјерница садржи: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Обим преузете енергије са преносне мреже,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Планирани обим производње електричне енергије мини електран</w:t>
      </w:r>
      <w:r w:rsidR="006C548E">
        <w:rPr>
          <w:rFonts w:ascii="Arial" w:hAnsi="Arial" w:cs="Arial"/>
          <w:sz w:val="22"/>
          <w:lang w:val="sr-Cyrl-RS"/>
        </w:rPr>
        <w:t>а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Преузимање из других система по уговорима,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е</w:t>
      </w:r>
      <w:r w:rsidRPr="005A77A9">
        <w:rPr>
          <w:rFonts w:ascii="Arial" w:hAnsi="Arial" w:cs="Arial"/>
          <w:sz w:val="22"/>
          <w:lang w:val="sr-Cyrl-RS"/>
        </w:rPr>
        <w:t xml:space="preserve"> дистрибутивн</w:t>
      </w:r>
      <w:r w:rsidR="006C548E">
        <w:rPr>
          <w:rFonts w:ascii="Arial" w:hAnsi="Arial" w:cs="Arial"/>
          <w:sz w:val="22"/>
          <w:lang w:val="sr-Cyrl-RS"/>
        </w:rPr>
        <w:t>е губитке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нето дистрибутивн</w:t>
      </w:r>
      <w:r w:rsidR="006C548E">
        <w:rPr>
          <w:rFonts w:ascii="Arial" w:hAnsi="Arial" w:cs="Arial"/>
          <w:sz w:val="22"/>
          <w:lang w:val="sr-Cyrl-RS"/>
        </w:rPr>
        <w:t>у потрошњу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властит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потрошњ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Планиране количине горива.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Економски дио Смјерница сачињен је на основу тарифних ставова утврђених од стране Регулаторне комисије за енергетику Републике Српске (РЕРС), тарифе Државне електроенергетске регулаторне комисије (ДЕРК) и НОС – Независни оператор система у БиХ, тржишних цијена </w:t>
      </w:r>
      <w:r w:rsidR="003A1C2A">
        <w:rPr>
          <w:rFonts w:ascii="Arial" w:hAnsi="Arial" w:cs="Arial"/>
          <w:sz w:val="22"/>
          <w:lang w:val="sr-Cyrl-RS"/>
        </w:rPr>
        <w:t>енергената и</w:t>
      </w:r>
      <w:r w:rsidRPr="005A77A9">
        <w:rPr>
          <w:rFonts w:ascii="Arial" w:hAnsi="Arial" w:cs="Arial"/>
          <w:sz w:val="22"/>
          <w:lang w:val="sr-Cyrl-RS"/>
        </w:rPr>
        <w:t xml:space="preserve"> достигнутог нивоа цијене рада</w:t>
      </w:r>
      <w:r w:rsidR="003A1C2A">
        <w:rPr>
          <w:rFonts w:ascii="Arial" w:hAnsi="Arial" w:cs="Arial"/>
          <w:sz w:val="22"/>
          <w:lang w:val="sr-Cyrl-RS"/>
        </w:rPr>
        <w:t xml:space="preserve">. Смјернице прати Термин план, којим су прецизиране активности на изради планова, утврђени носиоци активности и рокови за провођење предвиђених активности на изради планског документа. </w:t>
      </w:r>
    </w:p>
    <w:p w:rsidR="003A1C2A" w:rsidRDefault="003A1C2A" w:rsidP="005A77A9">
      <w:pPr>
        <w:jc w:val="both"/>
        <w:rPr>
          <w:rFonts w:ascii="Arial" w:hAnsi="Arial" w:cs="Arial"/>
          <w:sz w:val="22"/>
          <w:lang w:val="sr-Cyrl-RS"/>
        </w:rPr>
      </w:pPr>
    </w:p>
    <w:p w:rsidR="003A1C2A" w:rsidRPr="005A77A9" w:rsidRDefault="003A1C2A" w:rsidP="005A77A9">
      <w:pPr>
        <w:jc w:val="both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Инвестициони дио смјерница садржи основе за планирање реалних инвестиција и њихових појединачних извора.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BA"/>
        </w:rPr>
      </w:pPr>
      <w:proofErr w:type="gramStart"/>
      <w:r w:rsidRPr="005A77A9">
        <w:rPr>
          <w:rFonts w:ascii="Arial" w:hAnsi="Arial" w:cs="Arial"/>
          <w:sz w:val="22"/>
        </w:rPr>
        <w:t xml:space="preserve">Дирекција за комерцијалне послове МХ ЕРС-а је у сврху израде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</w:rPr>
        <w:t>лана пословања за 201</w:t>
      </w:r>
      <w:r w:rsidR="006F1C96">
        <w:rPr>
          <w:rFonts w:ascii="Arial" w:hAnsi="Arial" w:cs="Arial"/>
          <w:sz w:val="22"/>
          <w:lang w:val="sr-Cyrl-BA"/>
        </w:rPr>
        <w:t>9</w:t>
      </w:r>
      <w:r w:rsidRPr="005A77A9">
        <w:rPr>
          <w:rFonts w:ascii="Arial" w:hAnsi="Arial" w:cs="Arial"/>
          <w:sz w:val="22"/>
        </w:rPr>
        <w:t>.</w:t>
      </w:r>
      <w:proofErr w:type="gramEnd"/>
      <w:r w:rsidRPr="005A77A9">
        <w:rPr>
          <w:rFonts w:ascii="Arial" w:hAnsi="Arial" w:cs="Arial"/>
          <w:sz w:val="22"/>
        </w:rPr>
        <w:t xml:space="preserve"> годину обрачунала</w:t>
      </w:r>
      <w:r w:rsidR="0041300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</w:rPr>
        <w:t xml:space="preserve">износе прихода од произведене енергије, износе прихода електродистрибутивним предузећима за пренешену енергију на дистрибутивном нивоу, износе расхода за преузету електричну енергију, </w:t>
      </w:r>
      <w:r w:rsidR="00C77E4D">
        <w:rPr>
          <w:rFonts w:ascii="Arial" w:hAnsi="Arial" w:cs="Arial"/>
          <w:sz w:val="22"/>
          <w:lang w:val="sr-Cyrl-BA"/>
        </w:rPr>
        <w:t xml:space="preserve">приходе од мрежарине, </w:t>
      </w:r>
      <w:r w:rsidRPr="005A77A9">
        <w:rPr>
          <w:rFonts w:ascii="Arial" w:hAnsi="Arial" w:cs="Arial"/>
          <w:sz w:val="22"/>
        </w:rPr>
        <w:t xml:space="preserve">као и припадајуће расходе општих и заједничких послова за МХ ЕРС које сносе сва зависна </w:t>
      </w:r>
      <w:r w:rsidRPr="005A77A9">
        <w:rPr>
          <w:rFonts w:ascii="Arial" w:hAnsi="Arial" w:cs="Arial"/>
          <w:sz w:val="22"/>
        </w:rPr>
        <w:lastRenderedPageBreak/>
        <w:t xml:space="preserve">предузећа. </w:t>
      </w:r>
      <w:r w:rsidR="003A1C2A">
        <w:rPr>
          <w:rFonts w:ascii="Arial" w:hAnsi="Arial" w:cs="Arial"/>
          <w:sz w:val="22"/>
          <w:lang w:val="sr-Cyrl-BA"/>
        </w:rPr>
        <w:t>Такође, Дирекција за комерцијалне послове МХ ЕРС-а за потре</w:t>
      </w:r>
      <w:r w:rsidR="00C77E4D">
        <w:rPr>
          <w:rFonts w:ascii="Arial" w:hAnsi="Arial" w:cs="Arial"/>
          <w:sz w:val="22"/>
          <w:lang w:val="sr-Cyrl-BA"/>
        </w:rPr>
        <w:t>бе израда Плана пословања за 20</w:t>
      </w:r>
      <w:r w:rsidR="00C77E4D">
        <w:rPr>
          <w:rFonts w:ascii="Arial" w:hAnsi="Arial" w:cs="Arial"/>
          <w:sz w:val="22"/>
          <w:lang w:val="sr-Latn-BA"/>
        </w:rPr>
        <w:t>20</w:t>
      </w:r>
      <w:r w:rsidR="003A1C2A">
        <w:rPr>
          <w:rFonts w:ascii="Arial" w:hAnsi="Arial" w:cs="Arial"/>
          <w:sz w:val="22"/>
          <w:lang w:val="sr-Cyrl-BA"/>
        </w:rPr>
        <w:t xml:space="preserve">. годину, обрачунала је и износ накнаде за обновљиве изворе и ефикасну когенерацију коју ће нам </w:t>
      </w:r>
      <w:r w:rsidR="007A7E06">
        <w:rPr>
          <w:rFonts w:ascii="Arial" w:hAnsi="Arial" w:cs="Arial"/>
          <w:sz w:val="22"/>
          <w:lang w:val="sr-Cyrl-BA"/>
        </w:rPr>
        <w:t xml:space="preserve">сваког мјесеца </w:t>
      </w:r>
      <w:r w:rsidR="003A1C2A">
        <w:rPr>
          <w:rFonts w:ascii="Arial" w:hAnsi="Arial" w:cs="Arial"/>
          <w:sz w:val="22"/>
          <w:lang w:val="sr-Cyrl-BA"/>
        </w:rPr>
        <w:t>фактурисати Оператор система подстицања.</w:t>
      </w:r>
    </w:p>
    <w:p w:rsidR="003A1C2A" w:rsidRPr="005A77A9" w:rsidRDefault="003A1C2A" w:rsidP="005A77A9">
      <w:pPr>
        <w:jc w:val="both"/>
        <w:rPr>
          <w:rFonts w:ascii="Arial" w:hAnsi="Arial" w:cs="Arial"/>
          <w:sz w:val="22"/>
          <w:lang w:val="sr-Latn-R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proofErr w:type="gramStart"/>
      <w:r w:rsidRPr="005A77A9">
        <w:rPr>
          <w:rFonts w:ascii="Arial" w:hAnsi="Arial" w:cs="Arial"/>
          <w:sz w:val="22"/>
        </w:rPr>
        <w:t>Остале ставке прихода и расхода планиране су на основу норматива предузећа, трендова и очекиваних промјена.</w:t>
      </w:r>
      <w:proofErr w:type="gramEnd"/>
      <w:r w:rsidRPr="005A77A9">
        <w:rPr>
          <w:rFonts w:ascii="Arial" w:hAnsi="Arial" w:cs="Arial"/>
          <w:sz w:val="22"/>
        </w:rPr>
        <w:t xml:space="preserve">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BA"/>
        </w:rPr>
      </w:pPr>
    </w:p>
    <w:p w:rsidR="005A77A9" w:rsidRPr="00D7176D" w:rsidRDefault="005A77A9" w:rsidP="005A77A9">
      <w:pPr>
        <w:jc w:val="both"/>
        <w:rPr>
          <w:rFonts w:ascii="Arial" w:hAnsi="Arial" w:cs="Arial"/>
          <w:sz w:val="22"/>
        </w:rPr>
      </w:pPr>
      <w:r w:rsidRPr="005A77A9">
        <w:rPr>
          <w:rFonts w:ascii="Arial" w:hAnsi="Arial" w:cs="Arial"/>
          <w:sz w:val="22"/>
          <w:lang w:val="sr-Cyrl-CS"/>
        </w:rPr>
        <w:t>План пословања за 20</w:t>
      </w:r>
      <w:r w:rsidR="00C77E4D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CS"/>
        </w:rPr>
        <w:t>. годину садржи све елементе прописане Законом о јавним предузећима и проводи се по законски прописаној процедури. Израда финансијског дијела Плана пословања у складу је са Међународним рачуноводственим стандардима и правилима и процедурама рачуноводственог и финансијс</w:t>
      </w:r>
      <w:r w:rsidR="00D7176D">
        <w:rPr>
          <w:rFonts w:ascii="Arial" w:hAnsi="Arial" w:cs="Arial"/>
          <w:sz w:val="22"/>
          <w:lang w:val="sr-Cyrl-CS"/>
        </w:rPr>
        <w:t>ког пословања и извјештавања.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Након </w:t>
      </w:r>
      <w:r w:rsidR="007A7E06">
        <w:rPr>
          <w:rFonts w:ascii="Arial" w:hAnsi="Arial" w:cs="Arial"/>
          <w:sz w:val="22"/>
          <w:lang w:val="sr-Cyrl-RS"/>
        </w:rPr>
        <w:t>разматрања</w:t>
      </w:r>
      <w:r w:rsidRPr="005A77A9">
        <w:rPr>
          <w:rFonts w:ascii="Arial" w:hAnsi="Arial" w:cs="Arial"/>
          <w:sz w:val="22"/>
          <w:lang w:val="sr-Cyrl-RS"/>
        </w:rPr>
        <w:t xml:space="preserve"> консолидованог Плана пословања од стране Управе Мјешовитог Холдинга ''Електропривреда РС'' слиједи разматрање планова од стране Колегија директора, Одбора за ревизију и Надзорног одбора МХ. Влада РС у функцији Скупштине акционара усваја П</w:t>
      </w:r>
      <w:r w:rsidR="006D2207">
        <w:rPr>
          <w:rFonts w:ascii="Arial" w:hAnsi="Arial" w:cs="Arial"/>
          <w:sz w:val="22"/>
          <w:lang w:val="sr-Cyrl-RS"/>
        </w:rPr>
        <w:t>лан пословања и такав доставља З</w:t>
      </w:r>
      <w:r w:rsidRPr="005A77A9">
        <w:rPr>
          <w:rFonts w:ascii="Arial" w:hAnsi="Arial" w:cs="Arial"/>
          <w:sz w:val="22"/>
          <w:lang w:val="sr-Cyrl-RS"/>
        </w:rPr>
        <w:t>ависним предузећима</w:t>
      </w:r>
      <w:r w:rsidR="006D2207">
        <w:rPr>
          <w:rFonts w:ascii="Arial" w:hAnsi="Arial" w:cs="Arial"/>
          <w:sz w:val="22"/>
          <w:lang w:val="sr-Cyrl-RS"/>
        </w:rPr>
        <w:t xml:space="preserve">. Сва Зависна предузећа, у складу са Термин планом, треба да ускладе своје планове са консолидованим Планом пословања МХ ЕРС и исте доставе својим органима на усвајање. </w:t>
      </w:r>
      <w:r w:rsidRPr="005A77A9">
        <w:rPr>
          <w:rFonts w:ascii="Arial" w:hAnsi="Arial" w:cs="Arial"/>
          <w:sz w:val="22"/>
          <w:lang w:val="sr-Cyrl-RS"/>
        </w:rPr>
        <w:t xml:space="preserve">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proofErr w:type="gramStart"/>
      <w:r w:rsidRPr="005A77A9">
        <w:rPr>
          <w:rFonts w:ascii="Arial" w:hAnsi="Arial" w:cs="Arial"/>
          <w:sz w:val="22"/>
        </w:rPr>
        <w:t xml:space="preserve">За период за који је </w:t>
      </w:r>
      <w:r w:rsidRPr="005A77A9">
        <w:rPr>
          <w:rFonts w:ascii="Arial" w:hAnsi="Arial" w:cs="Arial"/>
          <w:sz w:val="22"/>
          <w:lang w:val="sr-Cyrl-RS"/>
        </w:rPr>
        <w:t>усвојен</w:t>
      </w:r>
      <w:r w:rsidRPr="005A77A9">
        <w:rPr>
          <w:rFonts w:ascii="Arial" w:hAnsi="Arial" w:cs="Arial"/>
          <w:sz w:val="22"/>
          <w:lang w:val="sr-Cyrl-CS"/>
        </w:rPr>
        <w:t>,</w:t>
      </w:r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</w:rPr>
        <w:t>лан пословања представља основ пословних активности предузећа.</w:t>
      </w:r>
      <w:proofErr w:type="gramEnd"/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Изражен у финансијским величинама појединачних ставки прихода и расхода, омогућава редовно праћење и контролу учинака на свим релевантним нивоима у односу на задате величине и оцјену успјешности рада менаџмента.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Саставни дијелови Плана </w:t>
      </w:r>
      <w:r w:rsidRPr="005A77A9">
        <w:rPr>
          <w:rFonts w:ascii="Arial" w:hAnsi="Arial" w:cs="Arial"/>
          <w:sz w:val="22"/>
        </w:rPr>
        <w:t xml:space="preserve">пословања </w:t>
      </w:r>
      <w:r w:rsidRPr="005A77A9">
        <w:rPr>
          <w:rFonts w:ascii="Arial" w:hAnsi="Arial" w:cs="Arial"/>
          <w:sz w:val="22"/>
          <w:lang w:val="sr-Cyrl-CS"/>
        </w:rPr>
        <w:t>за 20</w:t>
      </w:r>
      <w:r w:rsidR="00C77E4D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CS"/>
        </w:rPr>
        <w:t xml:space="preserve">. годину су: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46227E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Мјере за остварење планираних резултата,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Електроенергетски биланс за 20</w:t>
      </w:r>
      <w:r w:rsidR="00C77E4D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CS"/>
        </w:rPr>
        <w:t>.</w:t>
      </w:r>
      <w:r w:rsidR="009E6BEC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годину</w:t>
      </w:r>
      <w:r w:rsidRPr="005A77A9">
        <w:rPr>
          <w:rFonts w:ascii="Arial" w:hAnsi="Arial" w:cs="Arial"/>
          <w:sz w:val="22"/>
        </w:rPr>
        <w:t>,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Економско-финансијске пројекције Плана пословања</w:t>
      </w:r>
      <w:r w:rsidR="00C77E4D">
        <w:rPr>
          <w:rFonts w:ascii="Arial" w:hAnsi="Arial" w:cs="Arial"/>
          <w:sz w:val="22"/>
          <w:lang w:val="sr-Latn-CS"/>
        </w:rPr>
        <w:t xml:space="preserve"> за 20</w:t>
      </w:r>
      <w:r w:rsidR="00C77E4D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Latn-CS"/>
        </w:rPr>
        <w:t>. годину</w:t>
      </w:r>
      <w:r w:rsidRPr="005A77A9">
        <w:rPr>
          <w:rFonts w:ascii="Arial" w:hAnsi="Arial" w:cs="Arial"/>
          <w:sz w:val="22"/>
          <w:lang w:val="sr-Cyrl-CS"/>
        </w:rPr>
        <w:t>,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Latn-CS"/>
        </w:rPr>
      </w:pPr>
      <w:r w:rsidRPr="005A77A9">
        <w:rPr>
          <w:rFonts w:ascii="Arial" w:hAnsi="Arial" w:cs="Arial"/>
          <w:sz w:val="22"/>
          <w:lang w:val="sr-Cyrl-CS"/>
        </w:rPr>
        <w:t xml:space="preserve">План инвестиција за </w:t>
      </w:r>
      <w:r w:rsidR="00C77E4D">
        <w:rPr>
          <w:rFonts w:ascii="Arial" w:hAnsi="Arial" w:cs="Arial"/>
          <w:sz w:val="22"/>
          <w:lang w:val="sr-Cyrl-CS"/>
        </w:rPr>
        <w:t>2020</w:t>
      </w:r>
      <w:r w:rsidRPr="005A77A9">
        <w:rPr>
          <w:rFonts w:ascii="Arial" w:hAnsi="Arial" w:cs="Arial"/>
          <w:sz w:val="22"/>
          <w:lang w:val="sr-Cyrl-CS"/>
        </w:rPr>
        <w:t>. годину.</w:t>
      </w:r>
    </w:p>
    <w:p w:rsidR="005A77A9" w:rsidRPr="00D7176D" w:rsidRDefault="005A77A9" w:rsidP="005A77A9">
      <w:pPr>
        <w:jc w:val="both"/>
        <w:rPr>
          <w:rFonts w:ascii="Arial" w:hAnsi="Arial" w:cs="Arial"/>
          <w:sz w:val="22"/>
        </w:rPr>
      </w:pPr>
    </w:p>
    <w:p w:rsidR="00487896" w:rsidRPr="00487896" w:rsidRDefault="00487896" w:rsidP="00487896">
      <w:pPr>
        <w:keepNext/>
        <w:suppressAutoHyphens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</w:pPr>
      <w:bookmarkStart w:id="8" w:name="_Toc481062245"/>
      <w:bookmarkStart w:id="9" w:name="_Toc505000321"/>
      <w:bookmarkStart w:id="10" w:name="_Toc505001136"/>
      <w:bookmarkStart w:id="11" w:name="_Toc505146381"/>
      <w:bookmarkStart w:id="12" w:name="_Toc506293259"/>
      <w:bookmarkStart w:id="13" w:name="_Toc506293293"/>
      <w:bookmarkStart w:id="14" w:name="_Toc506293422"/>
      <w:bookmarkStart w:id="15" w:name="_Toc34731941"/>
      <w:r w:rsidRPr="00487896">
        <w:rPr>
          <w:rFonts w:ascii="Arial" w:hAnsi="Arial" w:cs="Arial"/>
          <w:b/>
          <w:bCs/>
          <w:kern w:val="32"/>
          <w:sz w:val="22"/>
          <w:szCs w:val="22"/>
          <w:lang w:val="sr-Cyrl-CS" w:eastAsia="ar-SA"/>
        </w:rPr>
        <w:t>Ризици пословања</w:t>
      </w:r>
      <w:r>
        <w:rPr>
          <w:rFonts w:ascii="Arial" w:hAnsi="Arial" w:cs="Arial"/>
          <w:b/>
          <w:bCs/>
          <w:kern w:val="32"/>
          <w:sz w:val="22"/>
          <w:szCs w:val="22"/>
          <w:lang w:val="sr-Latn-BA" w:eastAsia="ar-SA"/>
        </w:rPr>
        <w:t xml:space="preserve"> </w:t>
      </w:r>
      <w:r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  <w:t>у контексту остварења Плана пословања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ЗЕДП „Електро-Бијељина“ а.д. Бијељина послује у окружењу у ком дјелују различити фактори који могу утицати на реализацију планираних величина. Идентификовање ризика и сигнализирање у којим аспектима је највећа изложеност ризику дефинише се кроз надзор путем одјељења Интерне ревизије и Одбора за ревизију. Управљање ризицима усмјерено је ка минимизирању потенцијалних негативних утицаја на финансијску стабилност и пословање Друштва.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На основу Годишњих студија ризика одјељења Интерне ревизије, уочени су сљедећи ризици: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финансијских активности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активности,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D7176D" w:rsidRDefault="00487896" w:rsidP="00487896">
      <w:pPr>
        <w:jc w:val="both"/>
        <w:rPr>
          <w:rFonts w:ascii="Arial" w:eastAsiaTheme="minorHAnsi" w:hAnsi="Arial" w:cs="Arial"/>
          <w:sz w:val="22"/>
          <w:szCs w:val="22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Сваки од наведених ризика у </w:t>
      </w:r>
      <w:r w:rsidR="00D7176D">
        <w:rPr>
          <w:rFonts w:ascii="Arial" w:eastAsiaTheme="minorHAnsi" w:hAnsi="Arial" w:cs="Arial"/>
          <w:sz w:val="22"/>
          <w:szCs w:val="22"/>
          <w:lang w:val="sr-Cyrl-CS"/>
        </w:rPr>
        <w:t xml:space="preserve">различитој мјери и обиму утиче 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на</w:t>
      </w:r>
      <w:r w:rsidR="00D7176D">
        <w:rPr>
          <w:rFonts w:ascii="Arial" w:eastAsiaTheme="minorHAnsi" w:hAnsi="Arial" w:cs="Arial"/>
          <w:sz w:val="22"/>
          <w:szCs w:val="22"/>
          <w:lang w:val="sr-Cyrl-CS"/>
        </w:rPr>
        <w:t xml:space="preserve"> остварење планираних величина.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lastRenderedPageBreak/>
        <w:t xml:space="preserve">Ризици из финансијске активности идентификовани су у домену ефикасног и ефективног коришћења кредитних средстава, наплате потраживања и стварању обавеза.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487896">
        <w:rPr>
          <w:rFonts w:ascii="Arial" w:hAnsi="Arial" w:cs="Arial"/>
          <w:sz w:val="22"/>
          <w:szCs w:val="22"/>
          <w:lang w:val="sr-Cyrl-RS" w:eastAsia="sr-Latn-CS"/>
        </w:rPr>
        <w:t>Основни финансијски ризици су: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B505C">
        <w:rPr>
          <w:rFonts w:ascii="Arial" w:hAnsi="Arial" w:cs="Arial"/>
          <w:sz w:val="22"/>
          <w:szCs w:val="22"/>
          <w:lang w:val="sr-Cyrl-RS" w:eastAsia="sr-Latn-CS"/>
        </w:rPr>
        <w:t>Ризик од промјене каматних стопа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курса страних валута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цијена капитала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цијене производа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ликвидности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наплате потраживања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>Приликом израде Плана пословања на процјену прихода и расхода, те планираних средстава и извора средстава утичу у великој мјери последња два наведена финансијска ризика, док је утицај осталих занемарљив.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</w:t>
      </w:r>
      <w:r w:rsidRPr="00487896">
        <w:rPr>
          <w:rFonts w:ascii="Arial" w:eastAsiaTheme="minorHAnsi" w:hAnsi="Arial" w:cs="Arial"/>
          <w:sz w:val="22"/>
          <w:szCs w:val="22"/>
        </w:rPr>
        <w:t xml:space="preserve"> 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идентификовани су у домену ефикасног коришћења и управљања основни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средст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вим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а, залиха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ма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, као и њихов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им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благовремени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набавк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ама и одржавању.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 xml:space="preserve">У укупној вриједности Друштва значајан је удио и вриједност некретнина, постројења и опреме.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На висину тро</w:t>
      </w:r>
      <w:r w:rsidR="00196E9A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шкова који се могу јавити у 2020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. години утичу ефикасност кориштења основних средстава, те одржавање истих. Висок ниво ризика идентификован је и у домену управљања залихама. Адекватном процјеном и оптималним нивоом набавки залиха могуће је смањити ризик од техничке застар</w:t>
      </w:r>
      <w:r w:rsidR="00CB505C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ј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елости залиха и стварања ефекта „нагомилавања“ залиха.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  <w:lang w:val="sr-Cyrl-R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487896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Када говоримо о Плану инвестиција, идентификовани су</w:t>
      </w:r>
      <w:r w:rsidRPr="00487896">
        <w:rPr>
          <w:rFonts w:ascii="Arial" w:eastAsiaTheme="minorHAnsi" w:hAnsi="Arial" w:cs="Arial"/>
          <w:color w:val="000000"/>
          <w:sz w:val="22"/>
          <w:szCs w:val="22"/>
        </w:rPr>
        <w:t xml:space="preserve"> ризи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ци који могу проистећи из дугог периода припреме и усвајања Плана инвестициј</w:t>
      </w:r>
      <w:r w:rsidR="00CB505C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а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, административних припрема саме инвестиције (дозвола, сатласности, рјешења итд.), изградње, надзора, вођења документације о грађењу, обезбеђења потребних средстава и материјала за рад.</w:t>
      </w:r>
    </w:p>
    <w:p w:rsidR="00487896" w:rsidRPr="00487896" w:rsidRDefault="00487896" w:rsidP="00487896">
      <w:pPr>
        <w:suppressAutoHyphens/>
        <w:jc w:val="both"/>
        <w:rPr>
          <w:rFonts w:ascii="Arial" w:eastAsiaTheme="minorHAnsi" w:hAnsi="Arial" w:cs="Arial"/>
          <w:color w:val="000000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 идентификовани су у домену трошков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а, прихода, потрошње и остварења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губитака, односно добитака пословне активности</w:t>
      </w:r>
      <w:r w:rsidRPr="00487896">
        <w:rPr>
          <w:rFonts w:ascii="Arial" w:eastAsiaTheme="minorHAnsi" w:hAnsi="Arial" w:cs="Arial"/>
          <w:b/>
          <w:sz w:val="22"/>
          <w:szCs w:val="22"/>
          <w:lang w:val="sr-Cyrl-CS"/>
        </w:rPr>
        <w:t>.</w:t>
      </w:r>
    </w:p>
    <w:p w:rsidR="00487896" w:rsidRPr="00487896" w:rsidRDefault="00487896" w:rsidP="00487896">
      <w:pPr>
        <w:jc w:val="both"/>
        <w:rPr>
          <w:rFonts w:ascii="Arial" w:hAnsi="Arial" w:cs="Arial"/>
          <w:bCs/>
          <w:iCs/>
          <w:sz w:val="22"/>
          <w:szCs w:val="22"/>
          <w:lang w:val="sr-Cyrl-R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>На резултат пословања негативно може утицати</w:t>
      </w:r>
      <w:r w:rsidRPr="00487896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>раст трошкова производних услуга (</w:t>
      </w:r>
      <w:r w:rsidRPr="00487896">
        <w:rPr>
          <w:rFonts w:ascii="Arial" w:hAnsi="Arial" w:cs="Arial"/>
          <w:sz w:val="22"/>
          <w:szCs w:val="22"/>
          <w:lang w:eastAsia="sr-Latn-CS"/>
        </w:rPr>
        <w:t xml:space="preserve">нарочито 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>пошта</w:t>
      </w:r>
      <w:r w:rsidRPr="00487896">
        <w:rPr>
          <w:rFonts w:ascii="Arial" w:hAnsi="Arial" w:cs="Arial"/>
          <w:sz w:val="22"/>
          <w:szCs w:val="22"/>
          <w:lang w:eastAsia="sr-Latn-CS"/>
        </w:rPr>
        <w:t>нских услуга</w:t>
      </w:r>
      <w:r w:rsidRPr="00487896">
        <w:rPr>
          <w:rFonts w:ascii="Arial" w:hAnsi="Arial" w:cs="Arial"/>
          <w:sz w:val="22"/>
          <w:szCs w:val="22"/>
          <w:lang w:val="sr-Cyrl-RS" w:eastAsia="sr-Latn-CS"/>
        </w:rPr>
        <w:t xml:space="preserve"> и трошкова редовног одржавања), повећање амортизације усљед планиране инвестиционе изргадње, повећање трошкова камата. На остварен приход негативно може утицати и јачање ко</w:t>
      </w:r>
      <w:r w:rsidR="008558DD">
        <w:rPr>
          <w:rFonts w:ascii="Arial" w:hAnsi="Arial" w:cs="Arial"/>
          <w:sz w:val="22"/>
          <w:szCs w:val="22"/>
          <w:lang w:val="sr-Cyrl-RS" w:eastAsia="sr-Latn-CS"/>
        </w:rPr>
        <w:t>нкуренције у снабдијевањ</w:t>
      </w:r>
      <w:r w:rsidR="008558DD">
        <w:rPr>
          <w:rFonts w:ascii="Arial" w:hAnsi="Arial" w:cs="Arial"/>
          <w:sz w:val="22"/>
          <w:szCs w:val="22"/>
          <w:lang w:val="sr-Cyrl-CS" w:eastAsia="sr-Latn-CS"/>
        </w:rPr>
        <w:t>у</w:t>
      </w:r>
      <w:r w:rsidRPr="00487896">
        <w:rPr>
          <w:rFonts w:ascii="Arial" w:hAnsi="Arial" w:cs="Arial"/>
          <w:sz w:val="22"/>
          <w:szCs w:val="22"/>
          <w:lang w:val="sr-Cyrl-RS" w:eastAsia="sr-Latn-CS"/>
        </w:rPr>
        <w:t xml:space="preserve"> од 01.01.2016. године.</w:t>
      </w:r>
      <w:r w:rsidRPr="00487896">
        <w:rPr>
          <w:rFonts w:ascii="Arial" w:hAnsi="Arial" w:cs="Arial"/>
          <w:sz w:val="22"/>
          <w:szCs w:val="22"/>
          <w:lang w:eastAsia="sr-Latn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Анализом и праћењем остварења Плана пословања утицај ових ризика може се неутрализовати.</w:t>
      </w:r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E62416" w:rsidRDefault="005A77A9">
      <w:pPr>
        <w:spacing w:after="200" w:line="276" w:lineRule="auto"/>
        <w:sectPr w:rsidR="00E62416" w:rsidSect="00E57F76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1080" w:right="1440" w:bottom="1080" w:left="1440" w:header="706" w:footer="706" w:gutter="0"/>
          <w:pgNumType w:start="1"/>
          <w:cols w:space="708"/>
          <w:titlePg/>
          <w:docGrid w:linePitch="360"/>
        </w:sectPr>
      </w:pPr>
      <w: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378"/>
      </w:tblGrid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A77A9" w:rsidRPr="005A77A9" w:rsidTr="002E4771">
        <w:trPr>
          <w:trHeight w:val="1404"/>
        </w:trPr>
        <w:tc>
          <w:tcPr>
            <w:tcW w:w="8536" w:type="dxa"/>
          </w:tcPr>
          <w:p w:rsidR="005A77A9" w:rsidRPr="0033023D" w:rsidRDefault="005A77A9" w:rsidP="005A77A9">
            <w:pPr>
              <w:jc w:val="center"/>
              <w:rPr>
                <w:rFonts w:ascii="Cambria" w:hAnsi="Cambria"/>
                <w:b/>
                <w:color w:val="000000" w:themeColor="text1"/>
                <w:sz w:val="40"/>
                <w:szCs w:val="80"/>
                <w:lang w:val="sr-Cyrl-RS"/>
              </w:rPr>
            </w:pPr>
            <w:r w:rsidRPr="0033023D">
              <w:rPr>
                <w:rFonts w:ascii="Cambria" w:hAnsi="Cambria"/>
                <w:b/>
                <w:color w:val="000000" w:themeColor="text1"/>
                <w:sz w:val="52"/>
                <w:szCs w:val="80"/>
                <w:lang w:val="sr-Cyrl-RS"/>
              </w:rPr>
              <w:t>МЈЕРЕ</w:t>
            </w:r>
          </w:p>
          <w:p w:rsidR="005A77A9" w:rsidRPr="0033023D" w:rsidRDefault="005A77A9" w:rsidP="005A77A9">
            <w:pPr>
              <w:jc w:val="center"/>
              <w:rPr>
                <w:rFonts w:ascii="Cambria" w:hAnsi="Cambria"/>
                <w:color w:val="000000" w:themeColor="text1"/>
                <w:sz w:val="40"/>
                <w:szCs w:val="80"/>
                <w:lang w:val="sr-Cyrl-RS"/>
              </w:rPr>
            </w:pPr>
            <w:r w:rsidRPr="0033023D">
              <w:rPr>
                <w:rFonts w:ascii="Cambria" w:hAnsi="Cambria"/>
                <w:color w:val="000000" w:themeColor="text1"/>
                <w:sz w:val="40"/>
                <w:szCs w:val="80"/>
                <w:lang w:val="sr-Cyrl-RS"/>
              </w:rPr>
              <w:t>ЗЕДП''ЕЛЕКТРО-БИЈЕЉИНА'' а.д.</w:t>
            </w:r>
          </w:p>
          <w:p w:rsidR="005A77A9" w:rsidRPr="0033023D" w:rsidRDefault="005A77A9" w:rsidP="005A77A9">
            <w:pPr>
              <w:jc w:val="center"/>
              <w:rPr>
                <w:rFonts w:ascii="Cambria" w:hAnsi="Cambria"/>
                <w:color w:val="000000" w:themeColor="text1"/>
                <w:sz w:val="36"/>
                <w:szCs w:val="80"/>
                <w:lang w:val="sr-Latn-RS"/>
              </w:rPr>
            </w:pPr>
            <w:r w:rsidRPr="0033023D">
              <w:rPr>
                <w:rFonts w:ascii="Cambria" w:hAnsi="Cambria"/>
                <w:color w:val="000000" w:themeColor="text1"/>
                <w:sz w:val="36"/>
                <w:szCs w:val="80"/>
                <w:lang w:val="sr-Cyrl-RS"/>
              </w:rPr>
              <w:t>ЗА ОСТВАРЕЊЕ</w:t>
            </w:r>
          </w:p>
          <w:p w:rsidR="005A77A9" w:rsidRPr="0033023D" w:rsidRDefault="005A77A9" w:rsidP="005A77A9">
            <w:pPr>
              <w:jc w:val="center"/>
              <w:rPr>
                <w:rFonts w:ascii="Cambria" w:hAnsi="Cambria"/>
                <w:b/>
                <w:color w:val="000000" w:themeColor="text1"/>
                <w:sz w:val="56"/>
                <w:szCs w:val="80"/>
                <w:lang w:val="sr-Cyrl-RS"/>
              </w:rPr>
            </w:pPr>
            <w:r w:rsidRPr="0033023D">
              <w:rPr>
                <w:rFonts w:ascii="Cambria" w:hAnsi="Cambria"/>
                <w:b/>
                <w:color w:val="000000" w:themeColor="text1"/>
                <w:sz w:val="56"/>
                <w:szCs w:val="80"/>
                <w:lang w:val="sr-Cyrl-RS"/>
              </w:rPr>
              <w:t>ПЛАНА ПОСЛОВАЊА</w:t>
            </w:r>
          </w:p>
          <w:p w:rsidR="005A77A9" w:rsidRPr="005A77A9" w:rsidRDefault="003B2E3C" w:rsidP="00F0752A">
            <w:pPr>
              <w:jc w:val="center"/>
              <w:rPr>
                <w:rFonts w:ascii="Cambria" w:hAnsi="Cambria"/>
                <w:color w:val="4F81BD"/>
                <w:sz w:val="80"/>
                <w:szCs w:val="80"/>
                <w:lang w:val="sr-Cyrl-RS"/>
              </w:rPr>
            </w:pPr>
            <w:r>
              <w:rPr>
                <w:rFonts w:ascii="Cambria" w:hAnsi="Cambria"/>
                <w:color w:val="000000" w:themeColor="text1"/>
                <w:sz w:val="36"/>
                <w:szCs w:val="80"/>
                <w:lang w:val="sr-Cyrl-RS"/>
              </w:rPr>
              <w:t>за 2020</w:t>
            </w:r>
            <w:r w:rsidR="005A77A9" w:rsidRPr="0033023D">
              <w:rPr>
                <w:rFonts w:ascii="Cambria" w:hAnsi="Cambria"/>
                <w:color w:val="000000" w:themeColor="text1"/>
                <w:sz w:val="36"/>
                <w:szCs w:val="80"/>
                <w:lang w:val="sr-Cyrl-RS"/>
              </w:rPr>
              <w:t>. годину</w:t>
            </w: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8403BA" w:rsidRPr="001B67E0" w:rsidRDefault="005A77A9" w:rsidP="008403BA">
      <w:pPr>
        <w:jc w:val="both"/>
        <w:rPr>
          <w:rFonts w:ascii="Arial" w:hAnsi="Arial" w:cs="Arial"/>
          <w:color w:val="000000" w:themeColor="text1"/>
          <w:sz w:val="22"/>
          <w:szCs w:val="22"/>
          <w:lang w:val="sr-Cyrl-BA"/>
        </w:rPr>
      </w:pPr>
      <w:r w:rsidRPr="005A77A9">
        <w:rPr>
          <w:rFonts w:ascii="Arial" w:hAnsi="Arial" w:cs="Arial"/>
          <w:b/>
          <w:bCs/>
          <w:sz w:val="28"/>
          <w:lang w:val="sr-Cyrl-RS"/>
        </w:rPr>
        <w:br w:type="page"/>
      </w:r>
      <w:r w:rsidR="008403BA" w:rsidRPr="00A06FE5">
        <w:rPr>
          <w:rFonts w:ascii="Arial" w:hAnsi="Arial" w:cs="Arial"/>
          <w:color w:val="000000" w:themeColor="text1"/>
          <w:sz w:val="22"/>
          <w:szCs w:val="22"/>
          <w:lang w:val="sr-Cyrl-BA"/>
        </w:rPr>
        <w:lastRenderedPageBreak/>
        <w:t xml:space="preserve"> 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У циљу остварења Плана пословања за 201</w:t>
      </w:r>
      <w:r w:rsidR="000224C6" w:rsidRPr="001B67E0">
        <w:rPr>
          <w:rFonts w:ascii="Arial" w:hAnsi="Arial" w:cs="Arial"/>
          <w:color w:val="000000" w:themeColor="text1"/>
          <w:sz w:val="22"/>
          <w:szCs w:val="22"/>
        </w:rPr>
        <w:t>9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 xml:space="preserve">. годину, Управа Мјешовитог Холдинга предлаже Мјере, које су, 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>пр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иј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>е свега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,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заснован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е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на сталној анализи властите ситуације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,</w:t>
      </w:r>
      <w:r w:rsidR="008403BA"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односно властитих могућности у оквиру којих се мјере могу провести.</w:t>
      </w:r>
    </w:p>
    <w:p w:rsidR="008403BA" w:rsidRPr="001B67E0" w:rsidRDefault="008403BA" w:rsidP="008403BA">
      <w:pPr>
        <w:ind w:firstLine="284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8403BA" w:rsidRPr="001B67E0" w:rsidRDefault="008403BA" w:rsidP="008403BA">
      <w:pPr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  <w:r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При дефинисању мјера </w:t>
      </w:r>
      <w:r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основни принцип је</w:t>
      </w:r>
      <w:r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да исте буду: конкретне, са јасно постављеним циљем, са брзим дејством и проводиве</w:t>
      </w:r>
      <w:r w:rsidRPr="001B67E0">
        <w:rPr>
          <w:rFonts w:ascii="Arial" w:hAnsi="Arial" w:cs="Arial"/>
          <w:color w:val="000000" w:themeColor="text1"/>
          <w:sz w:val="22"/>
          <w:szCs w:val="22"/>
          <w:lang w:val="sr-Cyrl-BA"/>
        </w:rPr>
        <w:t>. Приоритет у овом периоду је стварање услова за отварање тржишта електричне енергије и примјена Директива ЕУ у складу са Уговором о оснивању енергетске заједнице југоисточне Европе.</w:t>
      </w:r>
    </w:p>
    <w:p w:rsidR="008403BA" w:rsidRPr="001B67E0" w:rsidRDefault="008403BA" w:rsidP="008403BA">
      <w:pPr>
        <w:ind w:firstLine="284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8403BA" w:rsidRPr="001B67E0" w:rsidRDefault="008403BA" w:rsidP="008403BA">
      <w:pPr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  <w:r w:rsidRPr="001B67E0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Мјере обухватају све сегменте пословања, с тим да се треба водити рачуна да се суштински не наруши тржишни концепт привређивања као основе економског система. </w:t>
      </w:r>
    </w:p>
    <w:p w:rsidR="008403BA" w:rsidRPr="003B2E3C" w:rsidRDefault="008403BA" w:rsidP="008403BA">
      <w:pPr>
        <w:jc w:val="center"/>
        <w:rPr>
          <w:rFonts w:ascii="Arial" w:hAnsi="Arial" w:cs="Arial"/>
          <w:b/>
          <w:color w:val="FFC000"/>
          <w:highlight w:val="yellow"/>
        </w:rPr>
      </w:pPr>
    </w:p>
    <w:p w:rsidR="008403BA" w:rsidRPr="00BF3D30" w:rsidRDefault="008403BA" w:rsidP="008403BA">
      <w:pPr>
        <w:jc w:val="center"/>
        <w:rPr>
          <w:rFonts w:ascii="Arial" w:hAnsi="Arial" w:cs="Arial"/>
          <w:b/>
          <w:color w:val="000000" w:themeColor="text1"/>
          <w:lang w:val="sr-Cyrl-BA"/>
        </w:rPr>
      </w:pPr>
      <w:r w:rsidRPr="00BF3D30">
        <w:rPr>
          <w:rFonts w:ascii="Arial" w:hAnsi="Arial" w:cs="Arial"/>
          <w:b/>
          <w:color w:val="000000" w:themeColor="text1"/>
          <w:lang w:val="sr-Cyrl-CS"/>
        </w:rPr>
        <w:t>М Ј Е Р Е</w:t>
      </w:r>
    </w:p>
    <w:p w:rsidR="008403BA" w:rsidRPr="00BF3D30" w:rsidRDefault="008403BA" w:rsidP="008403BA">
      <w:pPr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BF3D30">
        <w:rPr>
          <w:rFonts w:ascii="Arial" w:hAnsi="Arial" w:cs="Arial"/>
          <w:b/>
          <w:color w:val="000000" w:themeColor="text1"/>
          <w:lang w:val="sr-Cyrl-BA"/>
        </w:rPr>
        <w:t>ЗА ОСТВАРЕЊЕ ПЛАНИРАНИХ РЕЗУЛТАТА</w:t>
      </w:r>
    </w:p>
    <w:p w:rsidR="00A06FE5" w:rsidRPr="003B2E3C" w:rsidRDefault="00A06FE5" w:rsidP="008403BA">
      <w:pPr>
        <w:jc w:val="center"/>
        <w:rPr>
          <w:rFonts w:ascii="Arial" w:hAnsi="Arial" w:cs="Arial"/>
          <w:b/>
          <w:color w:val="000000" w:themeColor="text1"/>
          <w:highlight w:val="yellow"/>
          <w:lang w:val="sr-Latn-CS"/>
        </w:rPr>
      </w:pPr>
    </w:p>
    <w:p w:rsidR="00947AF5" w:rsidRPr="00EA4C91" w:rsidRDefault="00F31B39" w:rsidP="00947AF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Style w:val="fontstyle01"/>
          <w:rFonts w:ascii="Arial" w:hAnsi="Arial" w:cs="Arial"/>
        </w:rPr>
        <w:t xml:space="preserve">˗ </w:t>
      </w:r>
      <w:r w:rsidRPr="00EA4C91">
        <w:rPr>
          <w:rStyle w:val="fontstyle21"/>
          <w:rFonts w:ascii="Arial" w:hAnsi="Arial" w:cs="Arial"/>
          <w:sz w:val="22"/>
          <w:szCs w:val="22"/>
        </w:rPr>
        <w:t>За потребе отвaрања тржишта електричне енергије и усклађивања пословања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са обавезама преузетим међународним споразумима, потребно је извршити</w:t>
      </w:r>
      <w:r w:rsidR="00A06FE5" w:rsidRPr="00EA4C91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организационе промјене у Мјешовитом Холдингу „</w:t>
      </w:r>
      <w:r w:rsidR="00A06FE5" w:rsidRPr="00EA4C91">
        <w:rPr>
          <w:rStyle w:val="fontstyle21"/>
          <w:rFonts w:ascii="Arial" w:hAnsi="Arial" w:cs="Arial"/>
          <w:sz w:val="22"/>
          <w:szCs w:val="22"/>
        </w:rPr>
        <w:t xml:space="preserve">ЕРС”, имајући у виду трећипакет </w:t>
      </w:r>
      <w:r w:rsidRPr="00EA4C91">
        <w:rPr>
          <w:rStyle w:val="fontstyle21"/>
          <w:rFonts w:ascii="Arial" w:hAnsi="Arial" w:cs="Arial"/>
          <w:sz w:val="22"/>
          <w:szCs w:val="22"/>
        </w:rPr>
        <w:t xml:space="preserve">прописа ЕУ из области енергетике и нова законска рјешења.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У том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смислу, Босна и Херцеговина je потписујући Споразум о стабилизацији и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придруживању са Европском заједницом, у члану 70.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признала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важност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усклађивања постојећег законодавства Босне и Херцеговине са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законодавством Заједнице, као и његовог ефикасног провођења. Самим тим,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Босна и Херцеговина се обавезала постепено усклађивати своје постојеће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законе и будуће законодавство с правном тековином (aquius) Заједнице. Та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сарадња је заснована на Уговору о оснивању енергетске заједнице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(„Службени гласник БиХ – Међународни уговори”, број 9/06), те је неопходно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да се развија с циљем постепеног интегрисања Босне и Херцеговине у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европска енергетска тржишта.</w:t>
      </w:r>
    </w:p>
    <w:p w:rsidR="00A06FE5" w:rsidRPr="00EA4C91" w:rsidRDefault="00F31B39" w:rsidP="00947AF5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На Колегију директора МХ „ЕРС“-а одржаном дана 26.11.2018.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године,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представљени су модели везани за обављање дјелатности производње,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снабдијевања и дистрибуције електричне енергије, са посебним освртом на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питања снабдијевања електричном енергијом, преноса потраживања са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садашњих дистрибутивних предузећа на будуће предузеће за снабдијевање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електричном енергијом, кредитна задужења дистрибутивних предузећа, као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и исплате несагласних акционара.</w:t>
      </w:r>
    </w:p>
    <w:p w:rsidR="00A06FE5" w:rsidRPr="00EA4C91" w:rsidRDefault="00F31B39" w:rsidP="00947AF5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За испуњење наведених обавеза неопходно је прилагођавање организације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МХ „ЕРС-а”, уз посебан акценат на одвајање дјелатности снабдијевања у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односу на дјелатност дистрибуције електричне енергије.</w:t>
      </w:r>
      <w:proofErr w:type="gramEnd"/>
    </w:p>
    <w:p w:rsidR="00947AF5" w:rsidRPr="00EA4C91" w:rsidRDefault="00F31B39" w:rsidP="00947AF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Style w:val="fontstyle21"/>
          <w:rFonts w:ascii="Arial" w:hAnsi="Arial" w:cs="Arial"/>
          <w:sz w:val="22"/>
          <w:szCs w:val="22"/>
        </w:rPr>
        <w:t>Приликом одређивања Модела могуће реорганизације електродистрибуција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посебно је потребно имати у виду да се морају испунити обавезе дефинисане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Директивом ЕУ 2009/72, Уредбом 714/2009 и Директивом 2005/89, као и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анализу постојећег правног оквира у Републици Српској релевантног за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статус електроенергетских субјеката, те законима о преносу Регулатору и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Оператору система електричне енергиј</w:t>
      </w:r>
      <w:r w:rsidR="00EA4C91" w:rsidRPr="00EA4C91">
        <w:rPr>
          <w:rStyle w:val="fontstyle21"/>
          <w:rFonts w:ascii="Arial" w:hAnsi="Arial" w:cs="Arial"/>
          <w:sz w:val="22"/>
          <w:szCs w:val="22"/>
        </w:rPr>
        <w:t>е у БиХ, Закона о енергетици РС</w:t>
      </w:r>
      <w:r w:rsidR="00EA4C91" w:rsidRPr="00EA4C91">
        <w:rPr>
          <w:rStyle w:val="fontstyle21"/>
          <w:rFonts w:ascii="Arial" w:hAnsi="Arial" w:cs="Arial"/>
          <w:sz w:val="22"/>
          <w:szCs w:val="22"/>
          <w:lang w:val="sr-Cyrl-BA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 о електричној енергији у РС, Закона о Електроенергетској ефикасности,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Закона о обновљивим изворима енергије и ефикасној когенерацији.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Тим за спровођење ових активности треба да координира са већформираним тимом при Министарству индустрије, енергетике и рударства.</w:t>
      </w:r>
      <w:proofErr w:type="gramEnd"/>
    </w:p>
    <w:p w:rsidR="00947AF5" w:rsidRPr="00EA4C91" w:rsidRDefault="00947AF5" w:rsidP="00947AF5">
      <w:pPr>
        <w:jc w:val="both"/>
        <w:rPr>
          <w:rStyle w:val="fontstyle51"/>
          <w:rFonts w:ascii="Arial" w:hAnsi="Arial" w:cs="Arial"/>
        </w:rPr>
      </w:pPr>
    </w:p>
    <w:p w:rsidR="008403BA" w:rsidRDefault="00F31B39" w:rsidP="00947AF5">
      <w:pPr>
        <w:rPr>
          <w:rStyle w:val="fontstyle51"/>
          <w:rFonts w:ascii="Arial" w:hAnsi="Arial" w:cs="Arial"/>
          <w:sz w:val="22"/>
          <w:szCs w:val="22"/>
          <w:lang w:val="sr-Cyrl-BA"/>
        </w:rPr>
      </w:pPr>
      <w:r w:rsidRPr="00EA4C91">
        <w:rPr>
          <w:rStyle w:val="fontstyle51"/>
          <w:rFonts w:ascii="Arial" w:hAnsi="Arial" w:cs="Arial"/>
          <w:sz w:val="22"/>
          <w:szCs w:val="22"/>
        </w:rPr>
        <w:t xml:space="preserve">Носилац активности: 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Управа предузећа</w:t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EA4C91">
        <w:rPr>
          <w:rStyle w:val="fontstyle51"/>
          <w:rFonts w:ascii="Arial" w:hAnsi="Arial" w:cs="Arial"/>
          <w:sz w:val="22"/>
          <w:szCs w:val="22"/>
        </w:rPr>
        <w:t>Рок: 20</w:t>
      </w:r>
      <w:r w:rsidR="00EA4C91">
        <w:rPr>
          <w:rStyle w:val="fontstyle51"/>
          <w:rFonts w:ascii="Arial" w:hAnsi="Arial" w:cs="Arial"/>
          <w:sz w:val="22"/>
          <w:szCs w:val="22"/>
          <w:lang w:val="sr-Cyrl-BA"/>
        </w:rPr>
        <w:t>20</w:t>
      </w:r>
      <w:r w:rsidR="00EA4C91">
        <w:rPr>
          <w:rStyle w:val="fontstyle51"/>
          <w:rFonts w:ascii="Arial" w:hAnsi="Arial" w:cs="Arial"/>
          <w:sz w:val="22"/>
          <w:szCs w:val="22"/>
        </w:rPr>
        <w:t xml:space="preserve">. </w:t>
      </w:r>
      <w:r w:rsidR="00EA4C91">
        <w:rPr>
          <w:rStyle w:val="fontstyle51"/>
          <w:rFonts w:ascii="Arial" w:hAnsi="Arial" w:cs="Arial"/>
          <w:sz w:val="22"/>
          <w:szCs w:val="22"/>
          <w:lang w:val="sr-Cyrl-BA"/>
        </w:rPr>
        <w:t>г</w:t>
      </w:r>
      <w:r w:rsidRPr="00EA4C91">
        <w:rPr>
          <w:rStyle w:val="fontstyle51"/>
          <w:rFonts w:ascii="Arial" w:hAnsi="Arial" w:cs="Arial"/>
          <w:sz w:val="22"/>
          <w:szCs w:val="22"/>
        </w:rPr>
        <w:t>одина</w:t>
      </w:r>
    </w:p>
    <w:p w:rsidR="00EA4C91" w:rsidRPr="00EA4C91" w:rsidRDefault="00EA4C91" w:rsidP="00EA4C91">
      <w:pPr>
        <w:jc w:val="both"/>
        <w:rPr>
          <w:rStyle w:val="fontstyle51"/>
          <w:rFonts w:ascii="Arial" w:hAnsi="Arial" w:cs="Arial"/>
          <w:b w:val="0"/>
          <w:sz w:val="22"/>
          <w:szCs w:val="22"/>
          <w:lang w:val="sr-Cyrl-BA"/>
        </w:rPr>
      </w:pPr>
    </w:p>
    <w:p w:rsidR="00EA4C91" w:rsidRPr="00EA4C91" w:rsidRDefault="00EA4C91" w:rsidP="00EA4C91">
      <w:pPr>
        <w:jc w:val="both"/>
        <w:rPr>
          <w:rStyle w:val="fontstyle51"/>
          <w:rFonts w:ascii="Arial" w:hAnsi="Arial" w:cs="Arial"/>
          <w:b w:val="0"/>
          <w:sz w:val="22"/>
          <w:szCs w:val="22"/>
          <w:lang w:val="sr-Cyrl-BA"/>
        </w:rPr>
      </w:pPr>
      <w:r w:rsidRPr="00EA4C91">
        <w:rPr>
          <w:rStyle w:val="fontstyle51"/>
          <w:rFonts w:ascii="Arial" w:hAnsi="Arial" w:cs="Arial"/>
          <w:b w:val="0"/>
          <w:sz w:val="22"/>
          <w:szCs w:val="22"/>
          <w:lang w:val="sr-Cyrl-BA"/>
        </w:rPr>
        <w:t xml:space="preserve">У планском периоду дистрибутивна предузећа ће бити ограничена у вршењу резервног снабдјевања у периоду од 60 дана. Стим у вези MX „ЕРС“ Матично предузеће а.д. Требиње ће бити једини субјекат унутар MX „ЕРС“ који посједује дозволу за трговину и снабдијевање електричном енергијом, на основу које има право да слпбпднп угпвара </w:t>
      </w:r>
      <w:r w:rsidRPr="00EA4C91">
        <w:rPr>
          <w:rStyle w:val="fontstyle51"/>
          <w:rFonts w:ascii="Arial" w:hAnsi="Arial" w:cs="Arial"/>
          <w:b w:val="0"/>
          <w:sz w:val="22"/>
          <w:szCs w:val="22"/>
          <w:lang w:val="sr-Cyrl-BA"/>
        </w:rPr>
        <w:lastRenderedPageBreak/>
        <w:t>услпве снабдијевања са крајњим купцима по тржишним принципима. У оквиру MX „ЕРС“ Матично предузеће а.д. Требиње успостављена је дирекција чији је задатак да учествује на комерцијалном тржишту односно да снабдијева купце на високом, средњем напонском нивоу, као и купце на 0,4 напонском нивоу који из категорије остала потрпшња и јавна расвјета а који имају годишњу потрпшњу већу пд 35000 kWh за појединачно мјерно мјесто. Остатак купаца на 0,4 напонском нивоу третираће се до краја 2020. године као јавно снабдјевање и ту услугу ће и даље да пружају електрпдистрибутивна предузећа, а од 01.01.2021. јавно снабдијевање ће преузети нови пословни субјекат у оквиру МХ ЕРС који ће се искључиво бавити снабдјеваоњм не комерцијалних купаца.</w:t>
      </w:r>
    </w:p>
    <w:p w:rsidR="00EA4C91" w:rsidRPr="00EA4C91" w:rsidRDefault="00EA4C91" w:rsidP="00EA4C91">
      <w:pPr>
        <w:rPr>
          <w:rStyle w:val="fontstyle51"/>
          <w:rFonts w:ascii="Arial" w:hAnsi="Arial" w:cs="Arial"/>
          <w:sz w:val="22"/>
          <w:szCs w:val="22"/>
          <w:lang w:val="sr-Cyrl-BA"/>
        </w:rPr>
      </w:pPr>
    </w:p>
    <w:p w:rsidR="00EA4C91" w:rsidRDefault="00EA4C91" w:rsidP="00EA4C91">
      <w:pPr>
        <w:rPr>
          <w:rStyle w:val="fontstyle51"/>
          <w:rFonts w:ascii="Arial" w:hAnsi="Arial" w:cs="Arial"/>
          <w:sz w:val="22"/>
          <w:szCs w:val="22"/>
          <w:lang w:val="sr-Cyrl-BA"/>
        </w:rPr>
      </w:pPr>
      <w:r>
        <w:rPr>
          <w:rStyle w:val="fontstyle51"/>
          <w:rFonts w:ascii="Arial" w:hAnsi="Arial" w:cs="Arial"/>
          <w:sz w:val="22"/>
          <w:szCs w:val="22"/>
          <w:lang w:val="sr-Cyrl-BA"/>
        </w:rPr>
        <w:t>Но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си</w:t>
      </w:r>
      <w:r>
        <w:rPr>
          <w:rStyle w:val="fontstyle51"/>
          <w:rFonts w:ascii="Arial" w:hAnsi="Arial" w:cs="Arial"/>
          <w:sz w:val="22"/>
          <w:szCs w:val="22"/>
          <w:lang w:val="sr-Cyrl-BA"/>
        </w:rPr>
        <w:t xml:space="preserve">лац активнпсти: Управа 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предузећа</w:t>
      </w:r>
    </w:p>
    <w:p w:rsidR="00EA4C91" w:rsidRPr="00EA4C91" w:rsidRDefault="00EA4C91" w:rsidP="008403BA">
      <w:pP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>
        <w:rPr>
          <w:rStyle w:val="fontstyle51"/>
          <w:rFonts w:ascii="Arial" w:hAnsi="Arial" w:cs="Arial"/>
          <w:sz w:val="22"/>
          <w:szCs w:val="22"/>
          <w:lang w:val="sr-Cyrl-BA"/>
        </w:rPr>
        <w:t>Рок: континуирано</w:t>
      </w:r>
    </w:p>
    <w:p w:rsidR="00EA4C91" w:rsidRPr="003B2E3C" w:rsidRDefault="00EA4C91" w:rsidP="008403BA">
      <w:pPr>
        <w:rPr>
          <w:rFonts w:ascii="Arial" w:hAnsi="Arial" w:cs="Arial"/>
          <w:b/>
          <w:color w:val="FFC000"/>
          <w:highlight w:val="yellow"/>
          <w:lang w:val="sr-Cyrl-BA"/>
        </w:rPr>
      </w:pPr>
    </w:p>
    <w:p w:rsidR="00947AF5" w:rsidRPr="00EA4C91" w:rsidRDefault="00F31B39" w:rsidP="00947AF5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Fonts w:ascii="Arial" w:hAnsi="Arial" w:cs="Arial"/>
          <w:color w:val="000000"/>
        </w:rPr>
        <w:t xml:space="preserve">˗ </w:t>
      </w:r>
      <w:r w:rsidRPr="00EA4C91">
        <w:rPr>
          <w:rFonts w:ascii="Arial" w:hAnsi="Arial" w:cs="Arial"/>
          <w:color w:val="000000"/>
          <w:sz w:val="22"/>
          <w:szCs w:val="22"/>
        </w:rPr>
        <w:t>У планском периоду је потребно интензив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ирати инвестиционе активности у </w:t>
      </w:r>
      <w:r w:rsidRPr="00EA4C91">
        <w:rPr>
          <w:rFonts w:ascii="Arial" w:hAnsi="Arial" w:cs="Arial"/>
          <w:color w:val="000000"/>
          <w:sz w:val="22"/>
          <w:szCs w:val="22"/>
        </w:rPr>
        <w:t>свим дистрибутивним преду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зећима, како на изградњи нове и </w:t>
      </w:r>
      <w:r w:rsidRPr="00EA4C91">
        <w:rPr>
          <w:rFonts w:ascii="Arial" w:hAnsi="Arial" w:cs="Arial"/>
          <w:color w:val="000000"/>
          <w:sz w:val="22"/>
          <w:szCs w:val="22"/>
        </w:rPr>
        <w:t>реконструкцији постојеће електродистри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бутивне мреже и трафостаница са </w:t>
      </w:r>
      <w:r w:rsidRPr="00EA4C91">
        <w:rPr>
          <w:rFonts w:ascii="Arial" w:hAnsi="Arial" w:cs="Arial"/>
          <w:color w:val="000000"/>
          <w:sz w:val="22"/>
          <w:szCs w:val="22"/>
        </w:rPr>
        <w:t>циљем подизања нивоа поузданости и погонске спре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мности, тако и на </w:t>
      </w:r>
      <w:r w:rsidRPr="00EA4C91">
        <w:rPr>
          <w:rFonts w:ascii="Arial" w:hAnsi="Arial" w:cs="Arial"/>
          <w:color w:val="000000"/>
          <w:sz w:val="22"/>
          <w:szCs w:val="22"/>
        </w:rPr>
        <w:t>уређењу мјерних мјеста и успос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тављању АММ система, те набавци 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механизације и опреме неопходне за 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извршавање редовних активности. </w:t>
      </w:r>
      <w:proofErr w:type="gramStart"/>
      <w:r w:rsidRPr="00EA4C91">
        <w:rPr>
          <w:rFonts w:ascii="Arial" w:hAnsi="Arial" w:cs="Arial"/>
          <w:color w:val="000000"/>
          <w:sz w:val="22"/>
          <w:szCs w:val="22"/>
        </w:rPr>
        <w:t xml:space="preserve">Подизање нивоа инвестиција 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у директној је функцији смањења </w:t>
      </w:r>
      <w:r w:rsidRPr="00EA4C91">
        <w:rPr>
          <w:rFonts w:ascii="Arial" w:hAnsi="Arial" w:cs="Arial"/>
          <w:color w:val="000000"/>
          <w:sz w:val="22"/>
          <w:szCs w:val="22"/>
        </w:rPr>
        <w:t>дистрибутивних губитака, те подизања нивоа квалите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та услуге снабдијевања </w:t>
      </w:r>
      <w:r w:rsidRPr="00EA4C91">
        <w:rPr>
          <w:rFonts w:ascii="Arial" w:hAnsi="Arial" w:cs="Arial"/>
          <w:color w:val="000000"/>
          <w:sz w:val="22"/>
          <w:szCs w:val="22"/>
        </w:rPr>
        <w:t>кра</w:t>
      </w:r>
      <w:r w:rsidR="00947AF5" w:rsidRPr="00EA4C91">
        <w:rPr>
          <w:rFonts w:ascii="Arial" w:hAnsi="Arial" w:cs="Arial"/>
          <w:color w:val="000000"/>
          <w:sz w:val="22"/>
          <w:szCs w:val="22"/>
        </w:rPr>
        <w:t>јњих купаца електричне енергије.</w:t>
      </w:r>
      <w:proofErr w:type="gramEnd"/>
    </w:p>
    <w:p w:rsidR="00EA4C91" w:rsidRPr="00EA4C91" w:rsidRDefault="00F31B39" w:rsidP="00EA4C91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val="sr-Cyrl-BA"/>
        </w:rPr>
      </w:pPr>
      <w:r w:rsidRPr="00EA4C91">
        <w:rPr>
          <w:rFonts w:ascii="Arial" w:hAnsi="Arial" w:cs="Arial"/>
          <w:color w:val="000000"/>
        </w:rPr>
        <w:br/>
      </w:r>
      <w:r w:rsidR="009D5852" w:rsidRPr="00EA4C91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="009D5852" w:rsidRPr="00EA4C91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A06FE5" w:rsidRPr="00EA4C91" w:rsidRDefault="002C59F1" w:rsidP="00947AF5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Fonts w:ascii="Arial" w:hAnsi="Arial" w:cs="Arial"/>
          <w:color w:val="000000"/>
          <w:sz w:val="22"/>
          <w:szCs w:val="22"/>
        </w:rPr>
        <w:t>˗ Провођење одређених планира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них активности у оквиру система </w:t>
      </w:r>
      <w:r w:rsidRPr="00EA4C91">
        <w:rPr>
          <w:rFonts w:ascii="Arial" w:hAnsi="Arial" w:cs="Arial"/>
          <w:color w:val="000000"/>
          <w:sz w:val="22"/>
          <w:szCs w:val="22"/>
        </w:rPr>
        <w:t>Електропривреде Републике Српске у циљ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у ефикаснијег рада и унапређења </w:t>
      </w:r>
      <w:r w:rsidRPr="00EA4C91">
        <w:rPr>
          <w:rFonts w:ascii="Arial" w:hAnsi="Arial" w:cs="Arial"/>
          <w:color w:val="000000"/>
          <w:sz w:val="22"/>
          <w:szCs w:val="22"/>
        </w:rPr>
        <w:t>пословања,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 xml:space="preserve"> уз </w:t>
      </w:r>
      <w:r w:rsidRPr="00EA4C91">
        <w:rPr>
          <w:rFonts w:ascii="Arial" w:hAnsi="Arial" w:cs="Arial"/>
          <w:color w:val="000000"/>
          <w:sz w:val="22"/>
          <w:szCs w:val="22"/>
        </w:rPr>
        <w:t>осавремењавање производн</w:t>
      </w:r>
      <w:r w:rsidR="00A06FE5" w:rsidRPr="00EA4C91">
        <w:rPr>
          <w:rFonts w:ascii="Arial" w:hAnsi="Arial" w:cs="Arial"/>
          <w:color w:val="000000"/>
          <w:sz w:val="22"/>
          <w:szCs w:val="22"/>
        </w:rPr>
        <w:t>их и дистрибутивних капацитета;</w:t>
      </w:r>
    </w:p>
    <w:p w:rsidR="002C59F1" w:rsidRPr="00EA4C91" w:rsidRDefault="002C59F1" w:rsidP="00947AF5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A4C91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Надзорни одбор, Одбор за ревизију и Управа предузећа</w:t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5F3658" w:rsidRPr="005F3658" w:rsidRDefault="007F413D" w:rsidP="005F3658">
      <w:pPr>
        <w:pStyle w:val="Default"/>
        <w:jc w:val="both"/>
      </w:pPr>
      <w:r w:rsidRPr="005F3658">
        <w:rPr>
          <w:rFonts w:ascii="Arial" w:hAnsi="Arial" w:cs="Arial"/>
          <w:sz w:val="22"/>
          <w:szCs w:val="22"/>
        </w:rPr>
        <w:t>˗ У планском периоду је неопходно сагл</w:t>
      </w:r>
      <w:r w:rsidR="00A06FE5" w:rsidRPr="005F3658">
        <w:rPr>
          <w:rFonts w:ascii="Arial" w:hAnsi="Arial" w:cs="Arial"/>
          <w:sz w:val="22"/>
          <w:szCs w:val="22"/>
        </w:rPr>
        <w:t xml:space="preserve">едати стање у ИТ сектору у свим </w:t>
      </w:r>
      <w:r w:rsidRPr="005F3658">
        <w:rPr>
          <w:rFonts w:ascii="Arial" w:hAnsi="Arial" w:cs="Arial"/>
          <w:sz w:val="22"/>
          <w:szCs w:val="22"/>
        </w:rPr>
        <w:t>дистрибутивним предузећима у функци</w:t>
      </w:r>
      <w:r w:rsidR="00A06FE5" w:rsidRPr="005F3658">
        <w:rPr>
          <w:rFonts w:ascii="Arial" w:hAnsi="Arial" w:cs="Arial"/>
          <w:sz w:val="22"/>
          <w:szCs w:val="22"/>
        </w:rPr>
        <w:t xml:space="preserve">ји идентификовања потреба за </w:t>
      </w:r>
      <w:r w:rsidRPr="005F3658">
        <w:rPr>
          <w:rFonts w:ascii="Arial" w:hAnsi="Arial" w:cs="Arial"/>
          <w:sz w:val="22"/>
          <w:szCs w:val="22"/>
        </w:rPr>
        <w:t>развојем информационог систем</w:t>
      </w:r>
      <w:r w:rsidR="00A06FE5" w:rsidRPr="005F3658">
        <w:rPr>
          <w:rFonts w:ascii="Arial" w:hAnsi="Arial" w:cs="Arial"/>
          <w:sz w:val="22"/>
          <w:szCs w:val="22"/>
        </w:rPr>
        <w:t xml:space="preserve">а. Потребу за овим активностима </w:t>
      </w:r>
      <w:r w:rsidRPr="005F3658">
        <w:rPr>
          <w:rFonts w:ascii="Arial" w:hAnsi="Arial" w:cs="Arial"/>
          <w:sz w:val="22"/>
          <w:szCs w:val="22"/>
        </w:rPr>
        <w:t xml:space="preserve">наметнули су тржишни услови пословања </w:t>
      </w:r>
      <w:r w:rsidR="00A06FE5" w:rsidRPr="005F3658">
        <w:rPr>
          <w:rFonts w:ascii="Arial" w:hAnsi="Arial" w:cs="Arial"/>
          <w:sz w:val="22"/>
          <w:szCs w:val="22"/>
        </w:rPr>
        <w:t xml:space="preserve">у складу са којима је неопходно </w:t>
      </w:r>
      <w:r w:rsidRPr="005F3658">
        <w:rPr>
          <w:rFonts w:ascii="Arial" w:hAnsi="Arial" w:cs="Arial"/>
          <w:sz w:val="22"/>
          <w:szCs w:val="22"/>
        </w:rPr>
        <w:t>оспособљавање дистрибутера да у задати</w:t>
      </w:r>
      <w:r w:rsidR="00A06FE5" w:rsidRPr="005F3658">
        <w:rPr>
          <w:rFonts w:ascii="Arial" w:hAnsi="Arial" w:cs="Arial"/>
          <w:sz w:val="22"/>
          <w:szCs w:val="22"/>
        </w:rPr>
        <w:t xml:space="preserve">м роковима и прописаном формату </w:t>
      </w:r>
      <w:r w:rsidRPr="005F3658">
        <w:rPr>
          <w:rFonts w:ascii="Arial" w:hAnsi="Arial" w:cs="Arial"/>
          <w:sz w:val="22"/>
          <w:szCs w:val="22"/>
        </w:rPr>
        <w:t>размјењује податке са осталим учесницима, посебно имајући у виду поступак</w:t>
      </w:r>
      <w:r w:rsidRPr="005F3658">
        <w:rPr>
          <w:rFonts w:ascii="Arial" w:hAnsi="Arial" w:cs="Arial"/>
          <w:sz w:val="22"/>
          <w:szCs w:val="22"/>
        </w:rPr>
        <w:br/>
        <w:t>промјене снабдјевача.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 xml:space="preserve"> </w:t>
      </w:r>
      <w:r w:rsidR="005F3658" w:rsidRPr="005F3658">
        <w:rPr>
          <w:rFonts w:ascii="Arial" w:hAnsi="Arial" w:cs="Arial"/>
          <w:sz w:val="22"/>
          <w:szCs w:val="22"/>
        </w:rPr>
        <w:t>П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ред т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га, п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требно је извршити припреме за имплементацију система за управља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њ</w:t>
      </w:r>
      <w:r w:rsidR="005F3658" w:rsidRPr="005F3658">
        <w:rPr>
          <w:rFonts w:ascii="Arial" w:hAnsi="Arial" w:cs="Arial"/>
          <w:sz w:val="22"/>
          <w:szCs w:val="22"/>
        </w:rPr>
        <w:t>е им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вин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м (''Asset Management'') у дистрибутивним предузећима, са циљем унапређе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њ</w:t>
      </w:r>
      <w:r w:rsidR="005F3658" w:rsidRPr="005F3658">
        <w:rPr>
          <w:rFonts w:ascii="Arial" w:hAnsi="Arial" w:cs="Arial"/>
          <w:sz w:val="22"/>
          <w:szCs w:val="22"/>
        </w:rPr>
        <w:t>а п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сл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ва из д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мена управља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њ</w:t>
      </w:r>
      <w:r w:rsidR="005F3658" w:rsidRPr="005F3658">
        <w:rPr>
          <w:rFonts w:ascii="Arial" w:hAnsi="Arial" w:cs="Arial"/>
          <w:sz w:val="22"/>
          <w:szCs w:val="22"/>
        </w:rPr>
        <w:t>а регулат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рн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 xml:space="preserve">м 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сн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>в</w:t>
      </w:r>
      <w:r w:rsidR="005F3658" w:rsidRPr="005F3658">
        <w:rPr>
          <w:rFonts w:ascii="Arial" w:hAnsi="Arial" w:cs="Arial"/>
          <w:sz w:val="22"/>
          <w:szCs w:val="22"/>
          <w:lang w:val="sr-Cyrl-BA"/>
        </w:rPr>
        <w:t>о</w:t>
      </w:r>
      <w:r w:rsidR="005F3658" w:rsidRPr="005F3658">
        <w:rPr>
          <w:rFonts w:ascii="Arial" w:hAnsi="Arial" w:cs="Arial"/>
          <w:sz w:val="22"/>
          <w:szCs w:val="22"/>
        </w:rPr>
        <w:t xml:space="preserve">м. </w:t>
      </w:r>
    </w:p>
    <w:p w:rsidR="00A06FE5" w:rsidRPr="005F3658" w:rsidRDefault="007F413D" w:rsidP="00A06FE5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B2E3C">
        <w:rPr>
          <w:rFonts w:ascii="Arial" w:hAnsi="Arial" w:cs="Arial"/>
          <w:color w:val="000000"/>
          <w:highlight w:val="yellow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</w:p>
    <w:p w:rsidR="007F413D" w:rsidRPr="005F3658" w:rsidRDefault="005F3658" w:rsidP="00A06FE5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Рок: крај 20</w:t>
      </w:r>
      <w:r w:rsidRPr="005F3658"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22</w:t>
      </w:r>
      <w:r w:rsidR="007F413D" w:rsidRPr="005F365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BB7523" w:rsidRPr="005F3658">
        <w:rPr>
          <w:rFonts w:ascii="Arial" w:hAnsi="Arial" w:cs="Arial"/>
          <w:b/>
          <w:bCs/>
          <w:color w:val="000000"/>
          <w:sz w:val="22"/>
          <w:szCs w:val="22"/>
        </w:rPr>
        <w:t>Г</w:t>
      </w:r>
      <w:r w:rsidR="007F413D" w:rsidRPr="005F3658">
        <w:rPr>
          <w:rFonts w:ascii="Arial" w:hAnsi="Arial" w:cs="Arial"/>
          <w:b/>
          <w:bCs/>
          <w:color w:val="000000"/>
          <w:sz w:val="22"/>
          <w:szCs w:val="22"/>
        </w:rPr>
        <w:t>одине</w:t>
      </w:r>
    </w:p>
    <w:p w:rsidR="00A06FE5" w:rsidRPr="005F3658" w:rsidRDefault="00A06FE5" w:rsidP="00A06FE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47AF5" w:rsidRPr="005F3658" w:rsidRDefault="00BB7523" w:rsidP="00947AF5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</w:rPr>
        <w:t>˗ Досљедно имплементирати Јединст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вени оперативни план за смањење </w:t>
      </w:r>
      <w:r w:rsidRPr="005F3658">
        <w:rPr>
          <w:rFonts w:ascii="Arial" w:hAnsi="Arial" w:cs="Arial"/>
          <w:color w:val="000000"/>
          <w:sz w:val="22"/>
          <w:szCs w:val="22"/>
        </w:rPr>
        <w:t>дистрибутивних губитака с циљем смањења дистрибутивних губит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ака на </w:t>
      </w:r>
      <w:r w:rsidR="005F3658" w:rsidRPr="005F3658">
        <w:rPr>
          <w:rFonts w:ascii="Arial" w:hAnsi="Arial" w:cs="Arial"/>
          <w:color w:val="000000"/>
          <w:sz w:val="22"/>
          <w:szCs w:val="22"/>
        </w:rPr>
        <w:t>планирани ниво од 10</w:t>
      </w:r>
      <w:proofErr w:type="gramStart"/>
      <w:r w:rsidR="005F3658" w:rsidRPr="005F3658">
        <w:rPr>
          <w:rFonts w:ascii="Arial" w:hAnsi="Arial" w:cs="Arial"/>
          <w:color w:val="000000"/>
          <w:sz w:val="22"/>
          <w:szCs w:val="22"/>
        </w:rPr>
        <w:t>,</w:t>
      </w:r>
      <w:r w:rsidR="005F3658" w:rsidRPr="005F3658">
        <w:rPr>
          <w:rFonts w:ascii="Arial" w:hAnsi="Arial" w:cs="Arial"/>
          <w:color w:val="000000"/>
          <w:sz w:val="22"/>
          <w:szCs w:val="22"/>
          <w:lang w:val="sr-Cyrl-BA"/>
        </w:rPr>
        <w:t>73</w:t>
      </w:r>
      <w:proofErr w:type="gramEnd"/>
      <w:r w:rsidR="005F3658" w:rsidRPr="005F3658">
        <w:rPr>
          <w:rFonts w:ascii="Arial" w:hAnsi="Arial" w:cs="Arial"/>
          <w:color w:val="000000"/>
          <w:sz w:val="22"/>
          <w:szCs w:val="22"/>
        </w:rPr>
        <w:t>% за 20</w:t>
      </w:r>
      <w:r w:rsidR="005F3658" w:rsidRPr="005F3658">
        <w:rPr>
          <w:rFonts w:ascii="Arial" w:hAnsi="Arial" w:cs="Arial"/>
          <w:color w:val="000000"/>
          <w:sz w:val="22"/>
          <w:szCs w:val="22"/>
          <w:lang w:val="sr-Cyrl-BA"/>
        </w:rPr>
        <w:t>20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="002E660E" w:rsidRPr="005F3658">
        <w:rPr>
          <w:rFonts w:ascii="Arial" w:hAnsi="Arial" w:cs="Arial"/>
          <w:color w:val="000000"/>
          <w:sz w:val="22"/>
          <w:szCs w:val="22"/>
        </w:rPr>
        <w:t>годину</w:t>
      </w:r>
      <w:proofErr w:type="gramEnd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, како би се одржао тренд </w:t>
      </w:r>
      <w:r w:rsidRPr="005F3658">
        <w:rPr>
          <w:rFonts w:ascii="Arial" w:hAnsi="Arial" w:cs="Arial"/>
          <w:color w:val="000000"/>
          <w:sz w:val="22"/>
          <w:szCs w:val="22"/>
        </w:rPr>
        <w:t>њиховог вишегодишњег континуир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аног пада и свођења на технички </w:t>
      </w:r>
      <w:r w:rsidRPr="005F3658">
        <w:rPr>
          <w:rFonts w:ascii="Arial" w:hAnsi="Arial" w:cs="Arial"/>
          <w:color w:val="000000"/>
          <w:sz w:val="22"/>
          <w:szCs w:val="22"/>
        </w:rPr>
        <w:t>прихватљив ниво.</w:t>
      </w:r>
    </w:p>
    <w:p w:rsidR="005F3658" w:rsidRPr="005F3658" w:rsidRDefault="00BB7523" w:rsidP="005F3658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 w:rsidRPr="003B2E3C">
        <w:rPr>
          <w:rFonts w:ascii="Arial" w:hAnsi="Arial" w:cs="Arial"/>
          <w:color w:val="000000"/>
          <w:sz w:val="22"/>
          <w:szCs w:val="22"/>
          <w:highlight w:val="yellow"/>
        </w:rPr>
        <w:lastRenderedPageBreak/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</w:t>
      </w:r>
      <w:r w:rsidR="005F3658">
        <w:rPr>
          <w:rFonts w:ascii="Arial" w:hAnsi="Arial" w:cs="Arial"/>
          <w:b/>
          <w:bCs/>
          <w:color w:val="000000"/>
          <w:sz w:val="22"/>
          <w:szCs w:val="22"/>
        </w:rPr>
        <w:t>аве предузећа</w:t>
      </w:r>
      <w:r w:rsid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5F3658" w:rsidRDefault="005F3658" w:rsidP="005F3658">
      <w:pPr>
        <w:pStyle w:val="Default"/>
        <w:jc w:val="both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Cyrl-BA"/>
        </w:rPr>
        <w:t>-</w:t>
      </w:r>
      <w:r>
        <w:rPr>
          <w:rFonts w:ascii="Arial" w:hAnsi="Arial" w:cs="Arial"/>
          <w:sz w:val="22"/>
          <w:szCs w:val="22"/>
        </w:rPr>
        <w:t>Сагледати п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требе и аналазити м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гућн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сти будућег кредитн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 задуже</w:t>
      </w:r>
      <w:r>
        <w:rPr>
          <w:rFonts w:ascii="Arial" w:hAnsi="Arial" w:cs="Arial"/>
          <w:sz w:val="22"/>
          <w:szCs w:val="22"/>
          <w:lang w:val="sr-Cyrl-BA"/>
        </w:rPr>
        <w:t>њ</w:t>
      </w:r>
      <w:r w:rsidRPr="005F3658">
        <w:rPr>
          <w:rFonts w:ascii="Arial" w:hAnsi="Arial" w:cs="Arial"/>
          <w:sz w:val="22"/>
          <w:szCs w:val="22"/>
        </w:rPr>
        <w:t xml:space="preserve">а. </w:t>
      </w:r>
    </w:p>
    <w:p w:rsidR="005F3658" w:rsidRPr="005F3658" w:rsidRDefault="005F3658" w:rsidP="005F3658">
      <w:pPr>
        <w:pStyle w:val="Default"/>
        <w:jc w:val="both"/>
        <w:rPr>
          <w:rFonts w:ascii="Arial" w:hAnsi="Arial" w:cs="Arial"/>
          <w:sz w:val="22"/>
          <w:szCs w:val="22"/>
          <w:lang w:val="sr-Cyrl-BA"/>
        </w:rPr>
      </w:pPr>
    </w:p>
    <w:p w:rsidR="005F3658" w:rsidRPr="005F3658" w:rsidRDefault="005F3658" w:rsidP="005F36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силац активн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b/>
          <w:bCs/>
          <w:sz w:val="22"/>
          <w:szCs w:val="22"/>
        </w:rPr>
        <w:t xml:space="preserve">сти: Управа предузећа </w:t>
      </w:r>
    </w:p>
    <w:p w:rsidR="005F3658" w:rsidRPr="005F3658" w:rsidRDefault="005F3658" w:rsidP="005F36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Р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к: к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нтинуиран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F3658" w:rsidRDefault="005F3658" w:rsidP="002E660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sr-Cyrl-BA"/>
        </w:rPr>
      </w:pPr>
    </w:p>
    <w:p w:rsidR="005F3658" w:rsidRPr="005F3658" w:rsidRDefault="005F3658" w:rsidP="002E660E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</w:p>
    <w:p w:rsidR="002242C2" w:rsidRPr="005F3658" w:rsidRDefault="005F3658" w:rsidP="002242C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  <w:lang w:val="sr-Cyrl-BA"/>
        </w:rPr>
        <w:t>-</w:t>
      </w:r>
      <w:r w:rsidR="002242C2" w:rsidRPr="005F3658">
        <w:rPr>
          <w:rFonts w:ascii="Arial" w:hAnsi="Arial" w:cs="Arial"/>
          <w:color w:val="000000"/>
          <w:sz w:val="22"/>
          <w:szCs w:val="22"/>
        </w:rPr>
        <w:t>Обезбједити провођење свих распо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ложивих мјера с циљем остварења </w:t>
      </w:r>
      <w:r w:rsidR="002242C2" w:rsidRPr="005F3658">
        <w:rPr>
          <w:rFonts w:ascii="Arial" w:hAnsi="Arial" w:cs="Arial"/>
          <w:color w:val="000000"/>
          <w:sz w:val="22"/>
          <w:szCs w:val="22"/>
        </w:rPr>
        <w:t>потпуне наплате потраживања по исп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остављеним рачунима за утрошену </w:t>
      </w:r>
      <w:r w:rsidR="002242C2" w:rsidRPr="005F3658">
        <w:rPr>
          <w:rFonts w:ascii="Arial" w:hAnsi="Arial" w:cs="Arial"/>
          <w:color w:val="000000"/>
          <w:sz w:val="22"/>
          <w:szCs w:val="22"/>
        </w:rPr>
        <w:t xml:space="preserve">електричну енергију (100%),те праћење реализације закључених 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уговора о </w:t>
      </w:r>
      <w:r w:rsidR="002242C2" w:rsidRPr="005F3658">
        <w:rPr>
          <w:rFonts w:ascii="Arial" w:hAnsi="Arial" w:cs="Arial"/>
          <w:color w:val="000000"/>
          <w:sz w:val="22"/>
          <w:szCs w:val="22"/>
        </w:rPr>
        <w:t>репрограму дуга крајњих купаца из ра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нијег периода с циљем остварења </w:t>
      </w:r>
      <w:r w:rsidR="002242C2" w:rsidRPr="005F3658">
        <w:rPr>
          <w:rFonts w:ascii="Arial" w:hAnsi="Arial" w:cs="Arial"/>
          <w:color w:val="000000"/>
          <w:sz w:val="22"/>
          <w:szCs w:val="22"/>
        </w:rPr>
        <w:t>потпуне наплате потраживања која су њима обухваћена;</w:t>
      </w:r>
    </w:p>
    <w:p w:rsidR="002242C2" w:rsidRPr="005F3658" w:rsidRDefault="002242C2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Управе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2242C2" w:rsidRPr="005F3658" w:rsidRDefault="002242C2" w:rsidP="002242C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- Рационално располагати имовином, ут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врдити некурентне залихе, као и </w:t>
      </w:r>
      <w:r w:rsidRPr="005F3658">
        <w:rPr>
          <w:rFonts w:ascii="Arial" w:hAnsi="Arial" w:cs="Arial"/>
          <w:color w:val="000000"/>
          <w:sz w:val="22"/>
          <w:szCs w:val="22"/>
        </w:rPr>
        <w:t>старосну структуру залиха.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Прецизно п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ратити документацију која тачно 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утврђује уградњу на интервентним 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позицијама и поврат замијењених </w:t>
      </w:r>
      <w:r w:rsidRPr="005F3658">
        <w:rPr>
          <w:rFonts w:ascii="Arial" w:hAnsi="Arial" w:cs="Arial"/>
          <w:color w:val="000000"/>
          <w:sz w:val="22"/>
          <w:szCs w:val="22"/>
        </w:rPr>
        <w:t>дијелова.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 xml:space="preserve">Увести информациони систем у 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складиште, због добијања тачне, </w:t>
      </w:r>
      <w:r w:rsidRPr="005F3658">
        <w:rPr>
          <w:rFonts w:ascii="Arial" w:hAnsi="Arial" w:cs="Arial"/>
          <w:color w:val="000000"/>
          <w:sz w:val="22"/>
          <w:szCs w:val="22"/>
        </w:rPr>
        <w:t>свеобухватне и благовремене информације о стању роб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>е у складишту.</w:t>
      </w:r>
      <w:proofErr w:type="gramEnd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3658">
        <w:rPr>
          <w:rFonts w:ascii="Arial" w:hAnsi="Arial" w:cs="Arial"/>
          <w:color w:val="000000"/>
          <w:sz w:val="22"/>
          <w:szCs w:val="22"/>
        </w:rPr>
        <w:t>Извршити продају застарјелих залиха робе и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 основних средстава која нису у </w:t>
      </w:r>
      <w:r w:rsidRPr="005F3658">
        <w:rPr>
          <w:rFonts w:ascii="Arial" w:hAnsi="Arial" w:cs="Arial"/>
          <w:color w:val="000000"/>
          <w:sz w:val="22"/>
          <w:szCs w:val="22"/>
        </w:rPr>
        <w:t>функцији и гдје економски није оправдано оспособљавати исте;</w:t>
      </w:r>
    </w:p>
    <w:p w:rsidR="002242C2" w:rsidRPr="005F3658" w:rsidRDefault="002242C2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</w:t>
      </w:r>
      <w:r w:rsidR="005F3658">
        <w:rPr>
          <w:rFonts w:ascii="Arial" w:hAnsi="Arial" w:cs="Arial"/>
          <w:b/>
          <w:bCs/>
          <w:color w:val="000000"/>
          <w:sz w:val="22"/>
          <w:szCs w:val="22"/>
        </w:rPr>
        <w:t xml:space="preserve">силац активности: Управе </w:t>
      </w:r>
      <w:r w:rsidR="005F3658"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B3465" w:rsidRPr="005F3658" w:rsidRDefault="004B3465" w:rsidP="004B3465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˗ Плате запослених и остала лична примања реално пла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нирати у складу са 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Колективним уговором радника 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>МХ „Електропривреде РС“.</w:t>
      </w:r>
      <w:proofErr w:type="gramEnd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Сходно </w:t>
      </w:r>
      <w:r w:rsidRPr="005F3658">
        <w:rPr>
          <w:rFonts w:ascii="Arial" w:hAnsi="Arial" w:cs="Arial"/>
          <w:color w:val="000000"/>
          <w:sz w:val="22"/>
          <w:szCs w:val="22"/>
        </w:rPr>
        <w:t>препоруци Независног ревизора, потре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бна је реализација јединственог </w:t>
      </w:r>
      <w:r w:rsidRPr="005F3658">
        <w:rPr>
          <w:rFonts w:ascii="Arial" w:hAnsi="Arial" w:cs="Arial"/>
          <w:color w:val="000000"/>
          <w:sz w:val="22"/>
          <w:szCs w:val="22"/>
        </w:rPr>
        <w:t>софтвера за плату у свим предузећима МХ“ЕРС“.</w:t>
      </w:r>
      <w:proofErr w:type="gramEnd"/>
    </w:p>
    <w:p w:rsidR="004B3465" w:rsidRPr="005F3658" w:rsidRDefault="004B3465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6F1100" w:rsidRPr="005F3658" w:rsidRDefault="006F1100" w:rsidP="006F1100">
      <w:pPr>
        <w:spacing w:after="200" w:line="276" w:lineRule="auto"/>
        <w:jc w:val="both"/>
        <w:rPr>
          <w:rFonts w:ascii="Arial" w:hAnsi="Arial" w:cs="Arial"/>
          <w:color w:val="000000"/>
        </w:rPr>
      </w:pPr>
      <w:proofErr w:type="gramStart"/>
      <w:r w:rsidRPr="005F3658">
        <w:rPr>
          <w:rFonts w:ascii="Arial" w:hAnsi="Arial" w:cs="Arial"/>
          <w:color w:val="000000"/>
        </w:rPr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Прековремене и интервентне сате с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вести на неопходне за одржавање </w:t>
      </w:r>
      <w:r w:rsidRPr="005F3658">
        <w:rPr>
          <w:rFonts w:ascii="Arial" w:hAnsi="Arial" w:cs="Arial"/>
          <w:color w:val="000000"/>
          <w:sz w:val="22"/>
          <w:szCs w:val="22"/>
        </w:rPr>
        <w:t>редовне производње и дистрибуције.</w:t>
      </w:r>
      <w:proofErr w:type="gramEnd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 Елиминисати прековремени рад у </w:t>
      </w:r>
      <w:r w:rsidRPr="005F3658">
        <w:rPr>
          <w:rFonts w:ascii="Arial" w:hAnsi="Arial" w:cs="Arial"/>
          <w:color w:val="000000"/>
          <w:sz w:val="22"/>
          <w:szCs w:val="22"/>
        </w:rPr>
        <w:t>администрацији;</w:t>
      </w:r>
    </w:p>
    <w:p w:rsidR="006F1100" w:rsidRPr="005F3658" w:rsidRDefault="006F1100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814FE1" w:rsidRPr="005F3658" w:rsidRDefault="00814FE1" w:rsidP="00814FE1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</w:rPr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Приликом запошљавања нових радника поштоваће се Закључак Владе РС</w:t>
      </w:r>
      <w:r w:rsidRPr="005F3658">
        <w:rPr>
          <w:rFonts w:ascii="Arial" w:hAnsi="Arial" w:cs="Arial"/>
          <w:color w:val="000000"/>
          <w:sz w:val="22"/>
          <w:szCs w:val="22"/>
        </w:rPr>
        <w:br/>
        <w:t>број 04/1-012-2-825/15 од 23.04.2015.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годи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>не</w:t>
      </w:r>
      <w:proofErr w:type="gramEnd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 (пријем нових радника вршиће </w:t>
      </w:r>
      <w:r w:rsidRPr="005F3658">
        <w:rPr>
          <w:rFonts w:ascii="Arial" w:hAnsi="Arial" w:cs="Arial"/>
          <w:color w:val="000000"/>
          <w:sz w:val="22"/>
          <w:szCs w:val="22"/>
        </w:rPr>
        <w:t>се искључиво према потребама обављања о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сновне дјелатности предузећа, а уз консултације са </w:t>
      </w:r>
      <w:r w:rsidRPr="005F3658">
        <w:rPr>
          <w:rFonts w:ascii="Arial" w:hAnsi="Arial" w:cs="Arial"/>
          <w:color w:val="000000"/>
          <w:sz w:val="22"/>
          <w:szCs w:val="22"/>
        </w:rPr>
        <w:t>ресорним министар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ством и Владом РС). </w:t>
      </w:r>
      <w:proofErr w:type="gramStart"/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Запошљавање 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радника на одређено вријеме, </w:t>
      </w:r>
      <w:r w:rsidRPr="005F3658">
        <w:rPr>
          <w:rFonts w:ascii="Arial" w:hAnsi="Arial" w:cs="Arial"/>
          <w:color w:val="000000"/>
          <w:sz w:val="22"/>
          <w:szCs w:val="22"/>
        </w:rPr>
        <w:lastRenderedPageBreak/>
        <w:t>кој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е значајно оптерећује трошкове </w:t>
      </w:r>
      <w:r w:rsidRPr="005F3658">
        <w:rPr>
          <w:rFonts w:ascii="Arial" w:hAnsi="Arial" w:cs="Arial"/>
          <w:color w:val="000000"/>
          <w:sz w:val="22"/>
          <w:szCs w:val="22"/>
        </w:rPr>
        <w:t>пословања, свести на неопходан мини</w:t>
      </w:r>
      <w:r w:rsidR="002E660E" w:rsidRPr="005F3658">
        <w:rPr>
          <w:rFonts w:ascii="Arial" w:hAnsi="Arial" w:cs="Arial"/>
          <w:color w:val="000000"/>
          <w:sz w:val="22"/>
          <w:szCs w:val="22"/>
        </w:rPr>
        <w:t xml:space="preserve">мум и о свим промјенама по овом </w:t>
      </w:r>
      <w:r w:rsidRPr="005F3658">
        <w:rPr>
          <w:rFonts w:ascii="Arial" w:hAnsi="Arial" w:cs="Arial"/>
          <w:color w:val="000000"/>
          <w:sz w:val="22"/>
          <w:szCs w:val="22"/>
        </w:rPr>
        <w:t>питању тражити претходну сагласност.</w:t>
      </w:r>
      <w:proofErr w:type="gramEnd"/>
    </w:p>
    <w:p w:rsidR="00814FE1" w:rsidRPr="005F3658" w:rsidRDefault="00814FE1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814FE1" w:rsidRPr="005F3658" w:rsidRDefault="00814FE1" w:rsidP="00814FE1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</w:rPr>
        <w:t>- У планском периоду покушати смањити трошкове репрезентације, трошкове</w:t>
      </w:r>
      <w:r w:rsidRPr="005F3658">
        <w:rPr>
          <w:rFonts w:ascii="Arial" w:hAnsi="Arial" w:cs="Arial"/>
          <w:color w:val="000000"/>
          <w:sz w:val="22"/>
          <w:szCs w:val="22"/>
        </w:rPr>
        <w:br/>
        <w:t>службених путовања, ангажовања запослених на одређено вријеме и по</w:t>
      </w:r>
      <w:r w:rsidRPr="005F3658">
        <w:rPr>
          <w:rFonts w:ascii="Arial" w:hAnsi="Arial" w:cs="Arial"/>
          <w:color w:val="000000"/>
          <w:sz w:val="22"/>
          <w:szCs w:val="22"/>
        </w:rPr>
        <w:br/>
        <w:t xml:space="preserve">уговору о дјелу, трошкове канцеларијског </w:t>
      </w:r>
      <w:r w:rsidR="00A06DE1" w:rsidRPr="005F3658">
        <w:rPr>
          <w:rFonts w:ascii="Arial" w:hAnsi="Arial" w:cs="Arial"/>
          <w:color w:val="000000"/>
          <w:sz w:val="22"/>
          <w:szCs w:val="22"/>
        </w:rPr>
        <w:t xml:space="preserve">материјала, семинара и курсева, </w:t>
      </w:r>
      <w:r w:rsidRPr="005F3658">
        <w:rPr>
          <w:rFonts w:ascii="Arial" w:hAnsi="Arial" w:cs="Arial"/>
          <w:color w:val="000000"/>
          <w:sz w:val="22"/>
          <w:szCs w:val="22"/>
        </w:rPr>
        <w:t>коришћење службених телефона, те ост</w:t>
      </w:r>
      <w:r w:rsidR="00A06DE1" w:rsidRPr="005F3658">
        <w:rPr>
          <w:rFonts w:ascii="Arial" w:hAnsi="Arial" w:cs="Arial"/>
          <w:color w:val="000000"/>
          <w:sz w:val="22"/>
          <w:szCs w:val="22"/>
        </w:rPr>
        <w:t xml:space="preserve">але трошкове који нису директно </w:t>
      </w:r>
      <w:r w:rsidRPr="005F3658">
        <w:rPr>
          <w:rFonts w:ascii="Arial" w:hAnsi="Arial" w:cs="Arial"/>
          <w:color w:val="000000"/>
          <w:sz w:val="22"/>
          <w:szCs w:val="22"/>
        </w:rPr>
        <w:t>везани за дјелатност;</w:t>
      </w:r>
    </w:p>
    <w:p w:rsidR="00814FE1" w:rsidRPr="005F3658" w:rsidRDefault="00814FE1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96086F" w:rsidRPr="005F3658" w:rsidRDefault="0096086F" w:rsidP="0096086F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Ангажовање трећих лица вршити сам</w:t>
      </w:r>
      <w:r w:rsidR="00A06DE1" w:rsidRPr="005F3658">
        <w:rPr>
          <w:rFonts w:ascii="Arial" w:hAnsi="Arial" w:cs="Arial"/>
          <w:color w:val="000000"/>
          <w:sz w:val="22"/>
          <w:szCs w:val="22"/>
        </w:rPr>
        <w:t xml:space="preserve">о за оне повремене и привремене 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послове, као и послове који се сврставају у </w:t>
      </w:r>
      <w:r w:rsidR="00A06DE1" w:rsidRPr="005F3658">
        <w:rPr>
          <w:rFonts w:ascii="Arial" w:hAnsi="Arial" w:cs="Arial"/>
          <w:color w:val="000000"/>
          <w:sz w:val="22"/>
          <w:szCs w:val="22"/>
        </w:rPr>
        <w:t xml:space="preserve">ауторска дјела и сличне послове </w:t>
      </w:r>
      <w:r w:rsidRPr="005F3658">
        <w:rPr>
          <w:rFonts w:ascii="Arial" w:hAnsi="Arial" w:cs="Arial"/>
          <w:color w:val="000000"/>
          <w:sz w:val="22"/>
          <w:szCs w:val="22"/>
        </w:rPr>
        <w:t>за које немамо властите ресурсе и знања;</w:t>
      </w:r>
    </w:p>
    <w:p w:rsidR="0096086F" w:rsidRPr="005F3658" w:rsidRDefault="0096086F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8B3AE0" w:rsidRPr="00BE09DA" w:rsidRDefault="008B3AE0" w:rsidP="008B3AE0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Извршити анализу плаћања накнада члановима свих радних тијела и</w:t>
      </w:r>
      <w:r w:rsidRPr="00BE09DA">
        <w:rPr>
          <w:rFonts w:ascii="Arial" w:hAnsi="Arial" w:cs="Arial"/>
          <w:color w:val="000000"/>
          <w:sz w:val="22"/>
          <w:szCs w:val="22"/>
        </w:rPr>
        <w:br/>
        <w:t>комисија те извршити прилагођавање тих накнада економској ситуацији;</w:t>
      </w:r>
    </w:p>
    <w:p w:rsidR="008B3AE0" w:rsidRPr="00BE09DA" w:rsidRDefault="008B3AE0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Набавке вршити у складу са Законом о јавним набавкама (Службени Гласник</w:t>
      </w:r>
      <w:r w:rsidRPr="00BE09DA">
        <w:rPr>
          <w:rFonts w:ascii="Arial" w:hAnsi="Arial" w:cs="Arial"/>
          <w:color w:val="000000"/>
          <w:sz w:val="22"/>
          <w:szCs w:val="22"/>
        </w:rPr>
        <w:br/>
        <w:t>БиХ број 39 од 19.05.2014. године),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подзаконским и интерним актима </w:t>
      </w:r>
      <w:r w:rsidRPr="00BE09DA">
        <w:rPr>
          <w:rFonts w:ascii="Arial" w:hAnsi="Arial" w:cs="Arial"/>
          <w:color w:val="000000"/>
          <w:sz w:val="22"/>
          <w:szCs w:val="22"/>
        </w:rPr>
        <w:t>предузећа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;</w:t>
      </w:r>
      <w:proofErr w:type="gramEnd"/>
      <w:r w:rsidRPr="00BE09DA">
        <w:rPr>
          <w:rFonts w:ascii="Arial" w:hAnsi="Arial" w:cs="Arial"/>
          <w:color w:val="000000"/>
          <w:sz w:val="22"/>
          <w:szCs w:val="22"/>
        </w:rPr>
        <w:br/>
        <w:t>- Подносиоци захтјева за набавку дуж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ни су да воде рачуна да подносе </w:t>
      </w:r>
      <w:r w:rsidRPr="00BE09DA">
        <w:rPr>
          <w:rFonts w:ascii="Arial" w:hAnsi="Arial" w:cs="Arial"/>
          <w:color w:val="000000"/>
          <w:sz w:val="22"/>
          <w:szCs w:val="22"/>
        </w:rPr>
        <w:t>захтјеве за набавку благовремено,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водећи рачуна о стању залиха и </w:t>
      </w:r>
      <w:r w:rsidRPr="00BE09DA">
        <w:rPr>
          <w:rFonts w:ascii="Arial" w:hAnsi="Arial" w:cs="Arial"/>
          <w:color w:val="000000"/>
          <w:sz w:val="22"/>
          <w:szCs w:val="22"/>
        </w:rPr>
        <w:t xml:space="preserve">предложеном поступку набавке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и прописаним роковима за његову </w:t>
      </w:r>
      <w:r w:rsidRPr="00BE09DA">
        <w:rPr>
          <w:rFonts w:ascii="Arial" w:hAnsi="Arial" w:cs="Arial"/>
          <w:color w:val="000000"/>
          <w:sz w:val="22"/>
          <w:szCs w:val="22"/>
        </w:rPr>
        <w:t>реализацију, како би се обезбиједило континуирано снабдјева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ње робама, </w:t>
      </w:r>
      <w:r w:rsidRPr="00BE09DA">
        <w:rPr>
          <w:rFonts w:ascii="Arial" w:hAnsi="Arial" w:cs="Arial"/>
          <w:color w:val="000000"/>
          <w:sz w:val="22"/>
          <w:szCs w:val="22"/>
        </w:rPr>
        <w:t>услугама и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радовима, уз најниже трошкове;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Подносиоци захтјева за набавку дужни су да одреде техничке стандарде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које требају испуњавати средства – роб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е / услуге / радови, дефинисати </w:t>
      </w:r>
      <w:r w:rsidRPr="00BE09DA">
        <w:rPr>
          <w:rFonts w:ascii="Arial" w:hAnsi="Arial" w:cs="Arial"/>
          <w:color w:val="000000"/>
          <w:sz w:val="22"/>
          <w:szCs w:val="22"/>
        </w:rPr>
        <w:t>количине и дати основне и минималне техничке карактеристике средстава –</w:t>
      </w:r>
      <w:r w:rsidR="00A06DE1" w:rsidRPr="00BE09DA">
        <w:rPr>
          <w:rFonts w:ascii="Arial" w:hAnsi="Arial" w:cs="Arial"/>
          <w:color w:val="000000"/>
        </w:rPr>
        <w:t xml:space="preserve"> </w:t>
      </w:r>
      <w:r w:rsidRPr="00BE09DA">
        <w:rPr>
          <w:rFonts w:ascii="Arial" w:hAnsi="Arial" w:cs="Arial"/>
          <w:color w:val="000000"/>
          <w:sz w:val="22"/>
          <w:szCs w:val="22"/>
        </w:rPr>
        <w:t>роба / услуга / радова, у складу са ус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војеним стандардима – политиком </w:t>
      </w:r>
      <w:r w:rsidRPr="00BE09DA">
        <w:rPr>
          <w:rFonts w:ascii="Arial" w:hAnsi="Arial" w:cs="Arial"/>
          <w:color w:val="000000"/>
          <w:sz w:val="22"/>
          <w:szCs w:val="22"/>
        </w:rPr>
        <w:t>Мјешовитог Холдинга „Електропривреда Републике Српске“;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 xml:space="preserve">- Подносиоци захтјева за набавку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дужни су да размотре могућности </w:t>
      </w:r>
      <w:r w:rsidRPr="00BE09DA">
        <w:rPr>
          <w:rFonts w:ascii="Arial" w:hAnsi="Arial" w:cs="Arial"/>
          <w:color w:val="000000"/>
          <w:sz w:val="22"/>
          <w:szCs w:val="22"/>
        </w:rPr>
        <w:t>заједничке јавне набавке, како би се обезбједило смањењ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е цијена, односно </w:t>
      </w:r>
      <w:r w:rsidRPr="00BE09DA">
        <w:rPr>
          <w:rFonts w:ascii="Arial" w:hAnsi="Arial" w:cs="Arial"/>
          <w:color w:val="000000"/>
          <w:sz w:val="22"/>
          <w:szCs w:val="22"/>
        </w:rPr>
        <w:t>укупно смањење трошкова и обезбј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едило ефикасније и економичније </w:t>
      </w:r>
      <w:r w:rsidRPr="00BE09DA">
        <w:rPr>
          <w:rFonts w:ascii="Arial" w:hAnsi="Arial" w:cs="Arial"/>
          <w:color w:val="000000"/>
          <w:sz w:val="22"/>
          <w:szCs w:val="22"/>
        </w:rPr>
        <w:t xml:space="preserve">провођење поступака набавки на нивоу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Матичног предузећа и Мјешовитог </w:t>
      </w:r>
      <w:r w:rsidRPr="00BE09DA">
        <w:rPr>
          <w:rFonts w:ascii="Arial" w:hAnsi="Arial" w:cs="Arial"/>
          <w:color w:val="000000"/>
          <w:sz w:val="22"/>
          <w:szCs w:val="22"/>
        </w:rPr>
        <w:t>Холдинга „Еле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>ктропривреда Републике Српске“;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lastRenderedPageBreak/>
        <w:t>- Прије доношења одлуке о покретању поступка јавне набавке о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бавезно извршити </w:t>
      </w:r>
      <w:r w:rsidRPr="00BE09DA">
        <w:rPr>
          <w:rFonts w:ascii="Arial" w:hAnsi="Arial" w:cs="Arial"/>
          <w:color w:val="000000"/>
          <w:sz w:val="22"/>
          <w:szCs w:val="22"/>
        </w:rPr>
        <w:t>провјеру п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>роцијењене вриједности набавке;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За цијене свих берзанских роба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обавезно у тендерске документе </w:t>
      </w:r>
      <w:r w:rsidRPr="00BE09DA">
        <w:rPr>
          <w:rFonts w:ascii="Arial" w:hAnsi="Arial" w:cs="Arial"/>
          <w:color w:val="000000"/>
          <w:sz w:val="22"/>
          <w:szCs w:val="22"/>
        </w:rPr>
        <w:t>дефинисати пра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вилима о промјенљивости цијене; </w:t>
      </w:r>
    </w:p>
    <w:p w:rsidR="00A06DE1" w:rsidRPr="00BE09DA" w:rsidRDefault="00DD1AD2" w:rsidP="00DD1AD2">
      <w:pPr>
        <w:spacing w:after="20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Подносиоци захтјева за набавку и Дирекција за комерцијалне послове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дужни су да прате реализацију закључе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них уговора, посебно са аспектаквантитета </w:t>
      </w:r>
      <w:r w:rsidRPr="00BE09DA">
        <w:rPr>
          <w:rFonts w:ascii="Arial" w:hAnsi="Arial" w:cs="Arial"/>
          <w:color w:val="000000"/>
          <w:sz w:val="22"/>
          <w:szCs w:val="22"/>
        </w:rPr>
        <w:t>квалитета испоруке угово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рених роба, извршења услуга или </w:t>
      </w:r>
      <w:r w:rsidRPr="00BE09DA">
        <w:rPr>
          <w:rFonts w:ascii="Arial" w:hAnsi="Arial" w:cs="Arial"/>
          <w:color w:val="000000"/>
          <w:sz w:val="22"/>
          <w:szCs w:val="22"/>
        </w:rPr>
        <w:t>радова, благовремености испоруке/извр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шења предмета уговора, примјене </w:t>
      </w:r>
      <w:r w:rsidRPr="00BE09DA">
        <w:rPr>
          <w:rFonts w:ascii="Arial" w:hAnsi="Arial" w:cs="Arial"/>
          <w:color w:val="000000"/>
          <w:sz w:val="22"/>
          <w:szCs w:val="22"/>
        </w:rPr>
        <w:t>уговорених цијена, те добављачу доставити писане опомене и предложи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ти </w:t>
      </w:r>
      <w:r w:rsidRPr="00BE09DA">
        <w:rPr>
          <w:rFonts w:ascii="Arial" w:hAnsi="Arial" w:cs="Arial"/>
          <w:color w:val="000000"/>
          <w:sz w:val="22"/>
          <w:szCs w:val="22"/>
        </w:rPr>
        <w:t>примјену уговорних казни, активирање да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тих гаранција и примјену других </w:t>
      </w:r>
      <w:r w:rsidRPr="00BE09DA">
        <w:rPr>
          <w:rFonts w:ascii="Arial" w:hAnsi="Arial" w:cs="Arial"/>
          <w:color w:val="000000"/>
          <w:sz w:val="22"/>
          <w:szCs w:val="22"/>
        </w:rPr>
        <w:t>инструмената ради заштите интереса Мјешовитог Холдинга</w:t>
      </w:r>
      <w:r w:rsidRPr="00BE09DA">
        <w:rPr>
          <w:rFonts w:ascii="Arial" w:hAnsi="Arial" w:cs="Arial"/>
          <w:color w:val="000000"/>
          <w:sz w:val="22"/>
          <w:szCs w:val="22"/>
        </w:rPr>
        <w:br/>
        <w:t>„Електропривреда Републике Српске“.</w:t>
      </w:r>
    </w:p>
    <w:p w:rsidR="00DD1AD2" w:rsidRPr="00BE09DA" w:rsidRDefault="00DD1AD2" w:rsidP="00DD1AD2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Надзорним одборима</w:t>
      </w:r>
      <w:r w:rsidR="00A06DE1"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, Одборима за ревизију и Управа 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предузећа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B20007" w:rsidRPr="00BE09DA" w:rsidRDefault="00B20007" w:rsidP="00B20007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t xml:space="preserve">˗ </w:t>
      </w:r>
      <w:r w:rsidRPr="00BE09DA">
        <w:rPr>
          <w:rFonts w:ascii="Arial" w:hAnsi="Arial" w:cs="Arial"/>
          <w:color w:val="000000"/>
          <w:sz w:val="22"/>
          <w:szCs w:val="22"/>
        </w:rPr>
        <w:t>Приступити имплементацији система финансијског управљања и контроле у</w:t>
      </w:r>
      <w:r w:rsidRPr="00BE09DA">
        <w:rPr>
          <w:rFonts w:ascii="Arial" w:hAnsi="Arial" w:cs="Arial"/>
          <w:color w:val="000000"/>
          <w:sz w:val="22"/>
          <w:szCs w:val="22"/>
        </w:rPr>
        <w:br/>
        <w:t>складу са одребама Закона о систему и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нтерних финансијских контрола у </w:t>
      </w:r>
      <w:r w:rsidRPr="00BE09DA">
        <w:rPr>
          <w:rFonts w:ascii="Arial" w:hAnsi="Arial" w:cs="Arial"/>
          <w:color w:val="000000"/>
          <w:sz w:val="22"/>
          <w:szCs w:val="22"/>
        </w:rPr>
        <w:t>јавном сектору РС (Сл. гласник број 91/16), к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оји обухвата све врсте процеса, </w:t>
      </w:r>
      <w:r w:rsidRPr="00BE09DA">
        <w:rPr>
          <w:rFonts w:ascii="Arial" w:hAnsi="Arial" w:cs="Arial"/>
          <w:color w:val="000000"/>
          <w:sz w:val="22"/>
          <w:szCs w:val="22"/>
        </w:rPr>
        <w:t xml:space="preserve">политика и процедура које се користе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у организацији код финансијског </w:t>
      </w:r>
      <w:r w:rsidRPr="00BE09DA">
        <w:rPr>
          <w:rFonts w:ascii="Arial" w:hAnsi="Arial" w:cs="Arial"/>
          <w:color w:val="000000"/>
          <w:sz w:val="22"/>
          <w:szCs w:val="22"/>
        </w:rPr>
        <w:t>планирања, извршавања, контроле и изв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јештавања у области стратешких, </w:t>
      </w:r>
      <w:r w:rsidRPr="00BE09DA">
        <w:rPr>
          <w:rFonts w:ascii="Arial" w:hAnsi="Arial" w:cs="Arial"/>
          <w:color w:val="000000"/>
          <w:sz w:val="22"/>
          <w:szCs w:val="22"/>
        </w:rPr>
        <w:t>програмских и оперативних актив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ности организације. </w:t>
      </w:r>
      <w:proofErr w:type="gramStart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Финансијско </w:t>
      </w:r>
      <w:r w:rsidRPr="00BE09DA">
        <w:rPr>
          <w:rFonts w:ascii="Arial" w:hAnsi="Arial" w:cs="Arial"/>
          <w:color w:val="000000"/>
          <w:sz w:val="22"/>
          <w:szCs w:val="22"/>
        </w:rPr>
        <w:t xml:space="preserve">управљање и контроле, се такође односи и на све </w:t>
      </w:r>
      <w:r w:rsidRPr="00BE09DA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нефинансијске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процесе и </w:t>
      </w:r>
      <w:r w:rsidRPr="00BE09DA">
        <w:rPr>
          <w:rFonts w:ascii="Arial" w:hAnsi="Arial" w:cs="Arial"/>
          <w:color w:val="000000"/>
          <w:sz w:val="22"/>
          <w:szCs w:val="22"/>
        </w:rPr>
        <w:t>активности у пословању организација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Сви запослени су одговорни за </w:t>
      </w:r>
      <w:r w:rsidRPr="00BE09DA">
        <w:rPr>
          <w:rFonts w:ascii="Arial" w:hAnsi="Arial" w:cs="Arial"/>
          <w:color w:val="000000"/>
          <w:sz w:val="22"/>
          <w:szCs w:val="22"/>
        </w:rPr>
        <w:t>спровођење система финансијског управљања и контрола у складу са</w:t>
      </w:r>
      <w:r w:rsidRPr="00BE09DA">
        <w:rPr>
          <w:rFonts w:ascii="Arial" w:hAnsi="Arial" w:cs="Arial"/>
          <w:color w:val="000000"/>
          <w:sz w:val="22"/>
          <w:szCs w:val="22"/>
        </w:rPr>
        <w:br/>
        <w:t>успостављеним циљевима организац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>ије и пословним процесима.</w:t>
      </w:r>
      <w:proofErr w:type="gramEnd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Овим </w:t>
      </w:r>
      <w:r w:rsidRPr="00BE09DA">
        <w:rPr>
          <w:rFonts w:ascii="Arial" w:hAnsi="Arial" w:cs="Arial"/>
          <w:color w:val="000000"/>
          <w:sz w:val="22"/>
          <w:szCs w:val="22"/>
        </w:rPr>
        <w:t>системом се, управљајући ризицима, обезб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јеђује разумна увјереност да ће </w:t>
      </w:r>
      <w:r w:rsidRPr="00BE09DA">
        <w:rPr>
          <w:rFonts w:ascii="Arial" w:hAnsi="Arial" w:cs="Arial"/>
          <w:color w:val="000000"/>
          <w:sz w:val="22"/>
          <w:szCs w:val="22"/>
        </w:rPr>
        <w:t>се у остваривању циљева субјект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а, средства користити законито, </w:t>
      </w:r>
      <w:r w:rsidRPr="00BE09DA">
        <w:rPr>
          <w:rFonts w:ascii="Arial" w:hAnsi="Arial" w:cs="Arial"/>
          <w:color w:val="000000"/>
          <w:sz w:val="22"/>
          <w:szCs w:val="22"/>
        </w:rPr>
        <w:t>економично, ефикасно и ефективно.</w:t>
      </w:r>
      <w:proofErr w:type="gramEnd"/>
    </w:p>
    <w:p w:rsidR="00A06DE1" w:rsidRPr="00BE09DA" w:rsidRDefault="00B20007" w:rsidP="00A06DE1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Управе предузећа</w:t>
      </w:r>
      <w:r w:rsidR="00A06DE1"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и лица именована за 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успостављање система фи</w:t>
      </w:r>
      <w:r w:rsidR="00A06DE1" w:rsidRPr="00BE09DA">
        <w:rPr>
          <w:rFonts w:ascii="Arial" w:hAnsi="Arial" w:cs="Arial"/>
          <w:b/>
          <w:bCs/>
          <w:color w:val="000000"/>
          <w:sz w:val="22"/>
          <w:szCs w:val="22"/>
        </w:rPr>
        <w:t>нансијског управљања и контроле</w:t>
      </w:r>
    </w:p>
    <w:p w:rsidR="00B20007" w:rsidRPr="00BE09DA" w:rsidRDefault="00B20007" w:rsidP="00A06DE1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Рок: континуирано</w:t>
      </w:r>
    </w:p>
    <w:p w:rsidR="00A06DE1" w:rsidRPr="003B2E3C" w:rsidRDefault="00A06DE1" w:rsidP="00A06DE1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:rsidR="00E97676" w:rsidRPr="00BE09DA" w:rsidRDefault="00331E4D" w:rsidP="00B20007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˗ Донијети акт о управљању ризицима којим се поставља оквир за увођење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праксе управљања ризицима и кој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им се дефинише начин на који се </w:t>
      </w:r>
      <w:r w:rsidRPr="00BE09DA">
        <w:rPr>
          <w:rFonts w:ascii="Arial" w:hAnsi="Arial" w:cs="Arial"/>
          <w:color w:val="000000"/>
          <w:sz w:val="22"/>
          <w:szCs w:val="22"/>
        </w:rPr>
        <w:t xml:space="preserve">имплементира систематичан приступ 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>управљању ризицима.</w:t>
      </w:r>
      <w:proofErr w:type="gramEnd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У складу са </w:t>
      </w:r>
      <w:r w:rsidRPr="00BE09DA">
        <w:rPr>
          <w:rFonts w:ascii="Arial" w:hAnsi="Arial" w:cs="Arial"/>
          <w:color w:val="000000"/>
          <w:sz w:val="22"/>
          <w:szCs w:val="22"/>
        </w:rPr>
        <w:t>овим, битно је да Управе свих ЗП, дефин</w:t>
      </w:r>
      <w:r w:rsidR="00A06DE1" w:rsidRPr="00BE09DA">
        <w:rPr>
          <w:rFonts w:ascii="Arial" w:hAnsi="Arial" w:cs="Arial"/>
          <w:color w:val="000000"/>
          <w:sz w:val="22"/>
          <w:szCs w:val="22"/>
        </w:rPr>
        <w:t xml:space="preserve">ишу стратешке ризике, који могу </w:t>
      </w:r>
      <w:r w:rsidRPr="00BE09DA">
        <w:rPr>
          <w:rFonts w:ascii="Arial" w:hAnsi="Arial" w:cs="Arial"/>
          <w:color w:val="000000"/>
          <w:sz w:val="22"/>
          <w:szCs w:val="22"/>
        </w:rPr>
        <w:t>неповољно утицати на остварење приоритетних циљева предузећа.</w:t>
      </w:r>
      <w:proofErr w:type="gramEnd"/>
    </w:p>
    <w:p w:rsidR="00A06DE1" w:rsidRPr="00BE09DA" w:rsidRDefault="00331E4D" w:rsidP="00B20007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</w:t>
      </w:r>
      <w:r w:rsidR="00E97676" w:rsidRPr="00BE09DA">
        <w:rPr>
          <w:rFonts w:ascii="Arial" w:hAnsi="Arial" w:cs="Arial"/>
          <w:b/>
          <w:bCs/>
          <w:color w:val="000000"/>
          <w:sz w:val="22"/>
          <w:szCs w:val="22"/>
        </w:rPr>
        <w:t>ац активности</w:t>
      </w:r>
      <w:proofErr w:type="gramStart"/>
      <w:r w:rsidR="00E97676" w:rsidRPr="00BE09DA">
        <w:rPr>
          <w:rFonts w:ascii="Arial" w:hAnsi="Arial" w:cs="Arial"/>
          <w:b/>
          <w:bCs/>
          <w:color w:val="000000"/>
          <w:sz w:val="22"/>
          <w:szCs w:val="22"/>
        </w:rPr>
        <w:t>:Управе</w:t>
      </w:r>
      <w:proofErr w:type="gramEnd"/>
      <w:r w:rsidR="00E97676"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предузећа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и лица именована за</w:t>
      </w:r>
      <w:r w:rsidR="00A06DE1"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успостављање система фи</w:t>
      </w:r>
      <w:r w:rsidR="00A06DE1" w:rsidRPr="00BE09DA">
        <w:rPr>
          <w:rFonts w:ascii="Arial" w:hAnsi="Arial" w:cs="Arial"/>
          <w:b/>
          <w:bCs/>
          <w:color w:val="000000"/>
          <w:sz w:val="22"/>
          <w:szCs w:val="22"/>
        </w:rPr>
        <w:t>нансијског управљања и контроле</w:t>
      </w:r>
    </w:p>
    <w:p w:rsidR="00F35BA1" w:rsidRPr="00BE09DA" w:rsidRDefault="00BE09DA" w:rsidP="00B20007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Рок: континуиран</w:t>
      </w:r>
      <w: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о</w:t>
      </w:r>
    </w:p>
    <w:p w:rsidR="00F35BA1" w:rsidRPr="00BE09DA" w:rsidRDefault="00F35BA1" w:rsidP="00B20007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lang w:val="sr-Cyrl-BA"/>
        </w:rPr>
      </w:pPr>
    </w:p>
    <w:p w:rsidR="009D5852" w:rsidRPr="009D5852" w:rsidRDefault="009D5852">
      <w:pPr>
        <w:spacing w:after="200" w:line="276" w:lineRule="auto"/>
        <w:rPr>
          <w:rFonts w:ascii="Arial" w:hAnsi="Arial" w:cs="Arial"/>
        </w:rPr>
      </w:pPr>
    </w:p>
    <w:p w:rsidR="002F1DFB" w:rsidRPr="002F1DFB" w:rsidRDefault="005A77A9" w:rsidP="002F1DFB">
      <w:pPr>
        <w:pStyle w:val="Heading1"/>
        <w:rPr>
          <w:rFonts w:ascii="Arial" w:eastAsiaTheme="minorHAnsi" w:hAnsi="Arial" w:cs="Arial"/>
          <w:sz w:val="24"/>
        </w:rPr>
      </w:pPr>
      <w:bookmarkStart w:id="16" w:name="_Toc481062249"/>
      <w:bookmarkStart w:id="17" w:name="_Toc505000322"/>
      <w:bookmarkStart w:id="18" w:name="_Toc505001137"/>
      <w:bookmarkStart w:id="19" w:name="_Toc505146382"/>
      <w:bookmarkStart w:id="20" w:name="_Toc506293260"/>
      <w:bookmarkStart w:id="21" w:name="_Toc506293294"/>
      <w:bookmarkStart w:id="22" w:name="_Toc506293423"/>
      <w:bookmarkStart w:id="23" w:name="_Toc34731942"/>
      <w:r w:rsidRPr="002F1DFB">
        <w:rPr>
          <w:rFonts w:ascii="Arial" w:eastAsiaTheme="minorHAnsi" w:hAnsi="Arial" w:cs="Arial"/>
          <w:sz w:val="24"/>
        </w:rPr>
        <w:t xml:space="preserve">ОСНОВНИ ПЛАНСКИ ПОДАЦИ </w:t>
      </w:r>
      <w:r w:rsidR="00D1539E">
        <w:rPr>
          <w:rFonts w:ascii="Arial" w:eastAsiaTheme="minorHAnsi" w:hAnsi="Arial" w:cs="Arial"/>
          <w:sz w:val="24"/>
        </w:rPr>
        <w:t>за 20</w:t>
      </w:r>
      <w:r w:rsidR="00D1539E">
        <w:rPr>
          <w:rFonts w:ascii="Arial" w:eastAsiaTheme="minorHAnsi" w:hAnsi="Arial" w:cs="Arial"/>
          <w:sz w:val="24"/>
          <w:lang w:val="sr-Latn-BA"/>
        </w:rPr>
        <w:t>20</w:t>
      </w:r>
      <w:r w:rsidRPr="002F1DFB">
        <w:rPr>
          <w:rFonts w:ascii="Arial" w:eastAsiaTheme="minorHAnsi" w:hAnsi="Arial" w:cs="Arial"/>
          <w:sz w:val="24"/>
        </w:rPr>
        <w:t>. годину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5A77A9" w:rsidRDefault="00FB3A48" w:rsidP="005A77A9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RS"/>
        </w:rPr>
      </w:pPr>
      <w:r>
        <w:rPr>
          <w:b/>
          <w:sz w:val="21"/>
          <w:lang w:val="sr-Cyrl-CS"/>
        </w:rPr>
        <w:pict>
          <v:rect id="_x0000_i1025" style="width:462.85pt;height:.25pt" o:hrpct="989" o:hralign="center" o:hrstd="t" o:hr="t" fillcolor="gray" stroked="f"/>
        </w:pict>
      </w:r>
    </w:p>
    <w:p w:rsidR="002F1DFB" w:rsidRPr="005A77A9" w:rsidRDefault="002F1DFB" w:rsidP="005A77A9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RS"/>
        </w:rPr>
      </w:pPr>
    </w:p>
    <w:p w:rsidR="005A77A9" w:rsidRPr="00487896" w:rsidRDefault="00BC63F7" w:rsidP="00BC63F7">
      <w:pPr>
        <w:pStyle w:val="Caption"/>
        <w:rPr>
          <w:rFonts w:ascii="Arial" w:eastAsiaTheme="minorHAnsi" w:hAnsi="Arial" w:cs="Arial"/>
          <w:szCs w:val="22"/>
          <w:lang w:val="sr-Cyrl-RS"/>
        </w:rPr>
      </w:pPr>
      <w:bookmarkStart w:id="24" w:name="_Toc33694924"/>
      <w:proofErr w:type="gramStart"/>
      <w:r>
        <w:t xml:space="preserve">Табела </w:t>
      </w:r>
      <w:proofErr w:type="gramEnd"/>
      <w:r>
        <w:fldChar w:fldCharType="begin"/>
      </w:r>
      <w:r>
        <w:instrText xml:space="preserve"> SEQ Табела \* ARABIC </w:instrText>
      </w:r>
      <w:r>
        <w:fldChar w:fldCharType="separate"/>
      </w:r>
      <w:r w:rsidR="008D5749">
        <w:rPr>
          <w:noProof/>
        </w:rPr>
        <w:t>1</w:t>
      </w:r>
      <w:r>
        <w:fldChar w:fldCharType="end"/>
      </w:r>
      <w:proofErr w:type="gramStart"/>
      <w:r w:rsidR="00D1539E">
        <w:rPr>
          <w:lang w:val="sr-Cyrl-CS"/>
        </w:rPr>
        <w:t xml:space="preserve"> Основни плански подаци за 20</w:t>
      </w:r>
      <w:r w:rsidR="00D1539E">
        <w:rPr>
          <w:lang w:val="sr-Latn-BA"/>
        </w:rPr>
        <w:t>20</w:t>
      </w:r>
      <w:r>
        <w:rPr>
          <w:lang w:val="sr-Cyrl-CS"/>
        </w:rPr>
        <w:t>.</w:t>
      </w:r>
      <w:proofErr w:type="gramEnd"/>
      <w:r>
        <w:rPr>
          <w:lang w:val="sr-Cyrl-CS"/>
        </w:rPr>
        <w:t xml:space="preserve"> годину</w:t>
      </w:r>
      <w:bookmarkEnd w:id="24"/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4120"/>
        <w:gridCol w:w="1820"/>
        <w:gridCol w:w="1440"/>
        <w:gridCol w:w="960"/>
      </w:tblGrid>
      <w:tr w:rsidR="00533DA0" w:rsidRPr="00533DA0" w:rsidTr="00533DA0">
        <w:trPr>
          <w:trHeight w:val="45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 w:rsidRPr="00533DA0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  <w:lang w:val="sr-Latn-BA"/>
              </w:rPr>
              <w:t>ПОДАЦИ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D1539E" w:rsidP="00533DA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  <w:lang w:val="sr-Latn-BA"/>
              </w:rPr>
              <w:t>РЕБАЛАНС 2019</w:t>
            </w:r>
            <w:r w:rsidR="00533DA0" w:rsidRPr="00533DA0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D1539E" w:rsidP="00533DA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  <w:lang w:val="sr-Latn-BA"/>
              </w:rPr>
              <w:t>ПЛАН 2020</w:t>
            </w:r>
            <w:r w:rsidR="00533DA0" w:rsidRPr="00533DA0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BFBFBF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  <w:r w:rsidRPr="00533DA0">
              <w:rPr>
                <w:rFonts w:ascii="Arial" w:hAnsi="Arial" w:cs="Arial"/>
                <w:b/>
                <w:bCs/>
                <w:color w:val="244061"/>
                <w:sz w:val="20"/>
                <w:szCs w:val="20"/>
                <w:lang w:val="sr-Latn-BA"/>
              </w:rPr>
              <w:t>Индекс      3/2</w:t>
            </w:r>
          </w:p>
        </w:tc>
      </w:tr>
      <w:tr w:rsidR="00533DA0" w:rsidRPr="00533DA0" w:rsidTr="00533DA0">
        <w:trPr>
          <w:trHeight w:val="435"/>
        </w:trPr>
        <w:tc>
          <w:tcPr>
            <w:tcW w:w="41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533DA0" w:rsidRPr="00533DA0" w:rsidRDefault="00533DA0" w:rsidP="00533DA0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533DA0" w:rsidRPr="00533DA0" w:rsidRDefault="00533DA0" w:rsidP="00533DA0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533DA0" w:rsidRPr="00533DA0" w:rsidRDefault="00533DA0" w:rsidP="00533DA0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BFBFBF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33DA0" w:rsidRPr="00533DA0" w:rsidRDefault="00533DA0" w:rsidP="00533DA0">
            <w:pPr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</w:p>
        </w:tc>
      </w:tr>
      <w:tr w:rsidR="00533DA0" w:rsidRPr="00533DA0" w:rsidTr="00533DA0">
        <w:trPr>
          <w:trHeight w:val="3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A0" w:rsidRPr="00533DA0" w:rsidRDefault="00533DA0" w:rsidP="00533DA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4</w:t>
            </w:r>
          </w:p>
        </w:tc>
      </w:tr>
      <w:tr w:rsidR="00973726" w:rsidRPr="00533DA0" w:rsidTr="007C05EE">
        <w:trPr>
          <w:trHeight w:val="3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Бруто дистрибутивна потрошња (GWh)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8F4053" w:rsidRDefault="008F40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732,87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Pr="008F4053" w:rsidRDefault="008F40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749,23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Pr="008F4053" w:rsidRDefault="00973726" w:rsidP="008F40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8F4053"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2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Дистрибутивни губици  (GWh)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Проценат остварених губитака без 110 kV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393DBC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393DBC" w:rsidRPr="00393DBC" w:rsidRDefault="00393DBC" w:rsidP="00533DA0">
            <w:pP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Нето дистрибутивна потрошња крајњих купаца које снабдијева Електро-Бијељина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393DBC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685,16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393DBC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430,42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BC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63</w:t>
            </w:r>
          </w:p>
        </w:tc>
      </w:tr>
      <w:tr w:rsidR="00973726" w:rsidRPr="00533DA0" w:rsidTr="00393DBC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Нето дистрибутивна потрошња (GWh)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973726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662,67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973726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666,39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Pr="00393DBC" w:rsidRDefault="00393D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</w:tr>
      <w:tr w:rsidR="00973726" w:rsidRPr="00533DA0" w:rsidTr="007C05EE">
        <w:trPr>
          <w:trHeight w:val="3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Укупан приход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97.716.634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82.453.994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Пословни приходи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91.314.530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78.757.994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973726" w:rsidRPr="00533DA0" w:rsidTr="007C05EE">
        <w:trPr>
          <w:trHeight w:val="5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Приход од продаје електричне енергије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84.433.617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59.729.312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Остали пословни приход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2.220.000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19.028.682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Остали приход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3.698.299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Финансијски приход 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2.703.805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Укупни расход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97.620.926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84.957.490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Пословни расход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96.448.089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82.977.490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973726" w:rsidRPr="00533DA0" w:rsidTr="007C05EE">
        <w:trPr>
          <w:trHeight w:val="5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Трошкови зарада, накнада зарада и остали лични расходи (КМ)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23.569.222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28.248.167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Трошкови производних услуга (КМ)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2.386.150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Трошкови енергије набављене од ЕРС-а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54.610.818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39.278.323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Нематеријални трошкови (КМ)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2.434.161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Остали расходи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973726" w:rsidRPr="00533DA0" w:rsidTr="007C05EE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Финансијски расходи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402.701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</w:tr>
      <w:tr w:rsidR="00973726" w:rsidRPr="00533DA0" w:rsidTr="00533DA0">
        <w:trPr>
          <w:trHeight w:val="3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Продајна цијена pf/kWh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1B62C5" w:rsidRDefault="001B62C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sr-Cyrl-BA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  <w:lang w:val="sr-Cyrl-B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Pr="001B62C5" w:rsidRDefault="001B62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12</w:t>
            </w:r>
          </w:p>
        </w:tc>
      </w:tr>
      <w:tr w:rsidR="00973726" w:rsidRPr="00533DA0" w:rsidTr="00533DA0">
        <w:trPr>
          <w:trHeight w:val="3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Pr="00533DA0" w:rsidRDefault="00973726" w:rsidP="00533D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D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BA"/>
              </w:rPr>
              <w:t>Бруто добит/ Губитак (у КМ)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95.708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-2.503.496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26" w:rsidRDefault="009737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-2616</w:t>
            </w:r>
          </w:p>
        </w:tc>
      </w:tr>
    </w:tbl>
    <w:p w:rsidR="005A77A9" w:rsidRPr="005A77A9" w:rsidRDefault="005A77A9" w:rsidP="005A77A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sr-Cyrl-RS"/>
        </w:rPr>
      </w:pPr>
    </w:p>
    <w:p w:rsidR="00E62416" w:rsidRDefault="005A77A9">
      <w:pPr>
        <w:spacing w:after="200" w:line="276" w:lineRule="auto"/>
        <w:sectPr w:rsidR="00E62416" w:rsidSect="0033362E"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  <w: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vertAnchor="page" w:horzAnchor="margin" w:tblpY="4974"/>
        <w:tblW w:w="5109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799"/>
      </w:tblGrid>
      <w:tr w:rsidR="005A77A9" w:rsidRPr="005A77A9" w:rsidTr="002E4771">
        <w:trPr>
          <w:trHeight w:val="264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eastAsia="ja-JP"/>
              </w:rPr>
            </w:pPr>
          </w:p>
        </w:tc>
      </w:tr>
      <w:tr w:rsidR="005A77A9" w:rsidRPr="005A77A9" w:rsidTr="002E4771">
        <w:trPr>
          <w:trHeight w:val="1005"/>
        </w:trPr>
        <w:tc>
          <w:tcPr>
            <w:tcW w:w="9800" w:type="dxa"/>
          </w:tcPr>
          <w:p w:rsidR="005A77A9" w:rsidRPr="005A77A9" w:rsidRDefault="005A77A9" w:rsidP="005A77A9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 w:rsidRPr="005A77A9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 xml:space="preserve">ЕЛЕКТРОЕНЕРГЕТСКИ БИЛАНС </w:t>
            </w:r>
          </w:p>
          <w:p w:rsidR="005A77A9" w:rsidRPr="00167CC9" w:rsidRDefault="00FA681B" w:rsidP="00533DA0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за 20</w:t>
            </w:r>
            <w:r>
              <w:rPr>
                <w:rFonts w:ascii="Cambria" w:hAnsi="Cambria"/>
                <w:b/>
                <w:color w:val="365F91"/>
                <w:sz w:val="44"/>
                <w:szCs w:val="80"/>
                <w:lang w:val="sr-Latn-BA" w:eastAsia="ja-JP"/>
              </w:rPr>
              <w:t>20</w:t>
            </w:r>
            <w:r w:rsidR="005A77A9" w:rsidRPr="005A77A9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. годину</w:t>
            </w:r>
          </w:p>
        </w:tc>
      </w:tr>
      <w:tr w:rsidR="005A77A9" w:rsidRPr="005A77A9" w:rsidTr="002E4771">
        <w:trPr>
          <w:trHeight w:val="280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rPr>
          <w:lang w:val="sr-Cyrl-RS"/>
        </w:rPr>
      </w:pPr>
    </w:p>
    <w:p w:rsidR="005A77A9" w:rsidRPr="005A77A9" w:rsidRDefault="005A77A9" w:rsidP="005A77A9">
      <w:pPr>
        <w:rPr>
          <w:lang w:val="sr-Cyrl-RS"/>
        </w:rPr>
      </w:pPr>
    </w:p>
    <w:p w:rsidR="00777AA0" w:rsidRPr="00777AA0" w:rsidRDefault="005A77A9" w:rsidP="0046227E">
      <w:pPr>
        <w:pStyle w:val="ListParagraph"/>
        <w:numPr>
          <w:ilvl w:val="0"/>
          <w:numId w:val="20"/>
        </w:numPr>
        <w:jc w:val="center"/>
        <w:rPr>
          <w:rFonts w:ascii="Arial" w:hAnsi="Arial" w:cs="Arial"/>
          <w:b/>
          <w:iCs/>
          <w:sz w:val="22"/>
          <w:lang w:val="sr-Cyrl-CS"/>
        </w:rPr>
      </w:pPr>
      <w:r w:rsidRPr="005A77A9">
        <w:br w:type="page"/>
      </w:r>
    </w:p>
    <w:p w:rsidR="005A77A9" w:rsidRPr="002F1DFB" w:rsidRDefault="005A77A9" w:rsidP="002F1DFB">
      <w:pPr>
        <w:pStyle w:val="Heading1"/>
        <w:rPr>
          <w:rFonts w:ascii="Arial" w:hAnsi="Arial" w:cs="Arial"/>
          <w:sz w:val="24"/>
        </w:rPr>
      </w:pPr>
      <w:bookmarkStart w:id="25" w:name="_Toc481062250"/>
      <w:bookmarkStart w:id="26" w:name="_Toc505000323"/>
      <w:bookmarkStart w:id="27" w:name="_Toc505001138"/>
      <w:bookmarkStart w:id="28" w:name="_Toc505146383"/>
      <w:bookmarkStart w:id="29" w:name="_Toc506293261"/>
      <w:bookmarkStart w:id="30" w:name="_Toc506293295"/>
      <w:bookmarkStart w:id="31" w:name="_Toc506293424"/>
      <w:bookmarkStart w:id="32" w:name="_Toc34731943"/>
      <w:r w:rsidRPr="00CA744E">
        <w:rPr>
          <w:rFonts w:ascii="Arial" w:hAnsi="Arial" w:cs="Arial"/>
          <w:sz w:val="22"/>
        </w:rPr>
        <w:lastRenderedPageBreak/>
        <w:t>ЕЛЕКТРОЕНЕРГЕТСКИ БИЛАНС</w:t>
      </w:r>
      <w:r w:rsidR="00CA744E" w:rsidRPr="00CA744E">
        <w:rPr>
          <w:rFonts w:ascii="Arial" w:hAnsi="Arial" w:cs="Arial"/>
          <w:sz w:val="22"/>
          <w:lang w:val="sr-Cyrl-BA"/>
        </w:rPr>
        <w:t xml:space="preserve"> </w:t>
      </w:r>
      <w:r w:rsidRPr="00CA744E">
        <w:rPr>
          <w:rFonts w:ascii="Arial" w:hAnsi="Arial" w:cs="Arial"/>
          <w:sz w:val="22"/>
        </w:rPr>
        <w:t xml:space="preserve">ЗЕДП ''ЕЛЕКТРО-БИЈЕЉИНА'' а.д. </w:t>
      </w:r>
      <w:r w:rsidRPr="002F1DFB">
        <w:rPr>
          <w:rFonts w:ascii="Arial" w:hAnsi="Arial" w:cs="Arial"/>
          <w:sz w:val="24"/>
        </w:rPr>
        <w:t>за 20</w:t>
      </w:r>
      <w:r w:rsidR="00D404DE">
        <w:rPr>
          <w:rFonts w:ascii="Arial" w:hAnsi="Arial" w:cs="Arial"/>
          <w:sz w:val="24"/>
          <w:lang w:val="sr-Latn-BA"/>
        </w:rPr>
        <w:t>20</w:t>
      </w:r>
      <w:r w:rsidRPr="002F1DFB">
        <w:rPr>
          <w:rFonts w:ascii="Arial" w:hAnsi="Arial" w:cs="Arial"/>
          <w:sz w:val="24"/>
        </w:rPr>
        <w:t xml:space="preserve">. </w:t>
      </w:r>
      <w:r w:rsidR="00CA744E">
        <w:rPr>
          <w:rFonts w:ascii="Arial" w:hAnsi="Arial" w:cs="Arial"/>
          <w:sz w:val="24"/>
        </w:rPr>
        <w:t>год.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5A77A9" w:rsidRPr="005A77A9" w:rsidRDefault="00FB3A48" w:rsidP="005A77A9">
      <w:pPr>
        <w:rPr>
          <w:rFonts w:ascii="CTimesRoman" w:hAnsi="CTimesRoman"/>
          <w:b/>
          <w:lang w:val="sr-Cyrl-CS"/>
        </w:rPr>
      </w:pPr>
      <w:r>
        <w:rPr>
          <w:b/>
          <w:sz w:val="21"/>
          <w:lang w:val="sr-Cyrl-CS"/>
        </w:rPr>
        <w:pict>
          <v:rect id="_x0000_i1026" style="width:462.85pt;height:.25pt" o:hrpct="989" o:hralign="center" o:hrstd="t" o:hr="t" fillcolor="gray" stroked="f"/>
        </w:pic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777AA0" w:rsidRPr="002F1DFB" w:rsidRDefault="00777AA0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33" w:name="_Toc481062251"/>
      <w:bookmarkStart w:id="34" w:name="_Toc505000324"/>
      <w:bookmarkStart w:id="35" w:name="_Toc505001139"/>
      <w:bookmarkStart w:id="36" w:name="_Toc505146384"/>
      <w:bookmarkStart w:id="37" w:name="_Toc506293262"/>
      <w:bookmarkStart w:id="38" w:name="_Toc506293296"/>
      <w:bookmarkStart w:id="39" w:name="_Toc506293425"/>
      <w:bookmarkStart w:id="40" w:name="_Toc34731944"/>
      <w:r w:rsidRPr="002F1DFB">
        <w:rPr>
          <w:rFonts w:ascii="Arial" w:hAnsi="Arial" w:cs="Arial"/>
          <w:sz w:val="22"/>
          <w:u w:val="single"/>
        </w:rPr>
        <w:t xml:space="preserve">Принципи израде </w:t>
      </w:r>
      <w:r w:rsidR="00310B99">
        <w:rPr>
          <w:rFonts w:ascii="Arial" w:hAnsi="Arial" w:cs="Arial"/>
          <w:sz w:val="22"/>
          <w:u w:val="single"/>
          <w:lang w:val="sr-Cyrl-BA"/>
        </w:rPr>
        <w:t>електроенергетско</w:t>
      </w:r>
      <w:r w:rsidR="00A85AE3">
        <w:rPr>
          <w:rFonts w:ascii="Arial" w:hAnsi="Arial" w:cs="Arial"/>
          <w:sz w:val="22"/>
          <w:u w:val="single"/>
        </w:rPr>
        <w:t>г</w:t>
      </w:r>
      <w:r w:rsidR="00310B99">
        <w:rPr>
          <w:rFonts w:ascii="Arial" w:hAnsi="Arial" w:cs="Arial"/>
          <w:sz w:val="22"/>
          <w:u w:val="single"/>
          <w:lang w:val="sr-Cyrl-BA"/>
        </w:rPr>
        <w:t xml:space="preserve"> </w:t>
      </w:r>
      <w:r w:rsidRPr="002F1DFB">
        <w:rPr>
          <w:rFonts w:ascii="Arial" w:hAnsi="Arial" w:cs="Arial"/>
          <w:sz w:val="22"/>
          <w:u w:val="single"/>
        </w:rPr>
        <w:t>биланса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777AA0" w:rsidRDefault="00777AA0" w:rsidP="00777AA0">
      <w:pPr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У складу са Законом о електричној енергији</w:t>
      </w:r>
      <w:r w:rsidRPr="005A77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619FF">
        <w:rPr>
          <w:rFonts w:ascii="Arial" w:hAnsi="Arial" w:cs="Arial"/>
          <w:sz w:val="22"/>
          <w:szCs w:val="22"/>
          <w:lang w:val="sr-Cyrl-CS"/>
        </w:rPr>
        <w:t>(Службени гласник РС број 8</w:t>
      </w:r>
      <w:r w:rsidRPr="005A77A9">
        <w:rPr>
          <w:rFonts w:ascii="Arial" w:hAnsi="Arial" w:cs="Arial"/>
          <w:sz w:val="22"/>
          <w:szCs w:val="22"/>
          <w:lang w:val="sr-Cyrl-CS"/>
        </w:rPr>
        <w:t>/</w:t>
      </w:r>
      <w:r w:rsidR="00D619FF">
        <w:rPr>
          <w:rFonts w:ascii="Arial" w:hAnsi="Arial" w:cs="Arial"/>
          <w:sz w:val="22"/>
          <w:szCs w:val="22"/>
          <w:lang w:val="sr-Cyrl-CS"/>
        </w:rPr>
        <w:t>2008</w:t>
      </w:r>
      <w:r w:rsidRPr="005A77A9">
        <w:rPr>
          <w:rFonts w:ascii="Arial" w:hAnsi="Arial" w:cs="Arial"/>
          <w:sz w:val="22"/>
          <w:szCs w:val="22"/>
          <w:lang w:val="sr-Cyrl-CS"/>
        </w:rPr>
        <w:t>) Влада Републике Српске усваја Електроенергетски биланс Републике Српске, а изворне податке за потрошњу достављају електродистрибутивна предузећа и директно прикључени потрошачи</w:t>
      </w:r>
      <w:r w:rsidRPr="005A77A9">
        <w:rPr>
          <w:rFonts w:ascii="Arial" w:hAnsi="Arial" w:cs="Arial"/>
          <w:sz w:val="22"/>
          <w:szCs w:val="22"/>
          <w:lang w:val="ru-RU"/>
        </w:rPr>
        <w:t>,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преко Електропривреде РС и НОС-а.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Електроенергетски биланс се ради на бази раније усвојене методологије која уважава кретање потрошње у последње три године. Тако се план дистрибутивне потрошње за сваку наредну годину ради на бази процјењеног остварења биланса за текућу годину, увећаног за проценат пораста потрошње у протекле три године. Од овога се може одступити уколико имамо покретање великих индустријских предузећа или друге околности које могу значајније утицати на децидну примјену методологије.</w:t>
      </w:r>
    </w:p>
    <w:p w:rsidR="0078358D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Електроенергетски биланс за 20</w:t>
      </w:r>
      <w:r w:rsidR="004E5C42">
        <w:rPr>
          <w:rFonts w:ascii="Arial" w:hAnsi="Arial" w:cs="Arial"/>
          <w:sz w:val="22"/>
          <w:szCs w:val="22"/>
          <w:lang w:val="sr-Latn-BA"/>
        </w:rPr>
        <w:t>20</w:t>
      </w:r>
      <w:r w:rsidR="005A7DE3">
        <w:rPr>
          <w:rFonts w:ascii="Arial" w:hAnsi="Arial" w:cs="Arial"/>
          <w:sz w:val="22"/>
          <w:szCs w:val="22"/>
          <w:lang w:val="sr-Cyrl-CS"/>
        </w:rPr>
        <w:t>. годину</w:t>
      </w:r>
      <w:r>
        <w:rPr>
          <w:rFonts w:ascii="Arial" w:hAnsi="Arial" w:cs="Arial"/>
          <w:sz w:val="22"/>
          <w:szCs w:val="22"/>
          <w:lang w:val="sr-Cyrl-CS"/>
        </w:rPr>
        <w:t xml:space="preserve"> утврђен је у другој половини 201</w:t>
      </w:r>
      <w:r w:rsidR="004E5C42">
        <w:rPr>
          <w:rFonts w:ascii="Arial" w:hAnsi="Arial" w:cs="Arial"/>
          <w:sz w:val="22"/>
          <w:szCs w:val="22"/>
          <w:lang w:val="sr-Latn-BA"/>
        </w:rPr>
        <w:t>9</w:t>
      </w:r>
      <w:r w:rsidRPr="005A77A9">
        <w:rPr>
          <w:rFonts w:ascii="Arial" w:hAnsi="Arial" w:cs="Arial"/>
          <w:sz w:val="22"/>
          <w:szCs w:val="22"/>
          <w:lang w:val="ru-RU"/>
        </w:rPr>
        <w:t>.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године и у потпуности </w:t>
      </w:r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5A77A9">
        <w:rPr>
          <w:rFonts w:ascii="Arial" w:hAnsi="Arial" w:cs="Arial"/>
          <w:sz w:val="22"/>
          <w:szCs w:val="22"/>
          <w:lang w:val="sr-Cyrl-CS"/>
        </w:rPr>
        <w:t>уваж</w:t>
      </w:r>
      <w:r>
        <w:rPr>
          <w:rFonts w:ascii="Arial" w:hAnsi="Arial" w:cs="Arial"/>
          <w:sz w:val="22"/>
          <w:szCs w:val="22"/>
          <w:lang w:val="sr-Cyrl-CS"/>
        </w:rPr>
        <w:t>ио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околности у којима електроенергетски систем ради, уз респектовање свих кључних полазних параметара за утврђивање биланса. Услови у којима се утврђује електроенергетски биланс представљају низ техничких, економских и организационих параметара који приказују тренутно стање у енергетском сектору и у Електропривреди РС, што се директно одражава</w:t>
      </w:r>
      <w:r>
        <w:rPr>
          <w:rFonts w:ascii="Arial" w:hAnsi="Arial" w:cs="Arial"/>
          <w:sz w:val="22"/>
          <w:szCs w:val="22"/>
          <w:lang w:val="sr-Cyrl-CS"/>
        </w:rPr>
        <w:t xml:space="preserve"> и на ЗЕДП ''Електро-Бијељина'' а.д. Бијељина</w:t>
      </w:r>
      <w:r w:rsidRPr="005A77A9">
        <w:rPr>
          <w:rFonts w:ascii="Arial" w:hAnsi="Arial" w:cs="Arial"/>
          <w:sz w:val="22"/>
          <w:szCs w:val="22"/>
          <w:lang w:val="sr-Cyrl-CS"/>
        </w:rPr>
        <w:t>, која дијели судбину осталих дистрибутивних предузећа у Републици Српској. У том смислу, при изради електроенергетског биланса, као и при одређивању претпоставки за његово остварење, треба неизоставно имати у виду и сљедеће чињенице:</w:t>
      </w:r>
    </w:p>
    <w:p w:rsidR="0078358D" w:rsidRPr="005A77A9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>Увођењем ПДВ-а плаћа се порез на мјесечне остварене прекопланске губитке, који је бесповратан, па макар губици на нивоу године били и мањи од планираног износа.</w:t>
      </w:r>
    </w:p>
    <w:p w:rsidR="0078358D" w:rsidRPr="00A67E56" w:rsidRDefault="0078358D" w:rsidP="0078358D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 xml:space="preserve">Промјена тарифних ставова и тарифне методологије могла би довјести до преливања потрошача са категорије 10 </w:t>
      </w:r>
      <w:r w:rsidRPr="0078358D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78358D">
        <w:rPr>
          <w:rFonts w:ascii="Arial" w:hAnsi="Arial" w:cs="Arial"/>
          <w:sz w:val="22"/>
          <w:szCs w:val="22"/>
          <w:lang w:val="sr-Cyrl-CS"/>
        </w:rPr>
        <w:t xml:space="preserve">потрошње у категорију 0,4 </w:t>
      </w:r>
      <w:r w:rsidRPr="0078358D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78358D">
        <w:rPr>
          <w:rFonts w:ascii="Arial" w:hAnsi="Arial" w:cs="Arial"/>
          <w:sz w:val="22"/>
          <w:szCs w:val="22"/>
          <w:lang w:val="sr-Cyrl-CS"/>
        </w:rPr>
        <w:t>остала потрошња (или обрнуто).</w:t>
      </w:r>
    </w:p>
    <w:p w:rsidR="0078358D" w:rsidRPr="005A77A9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>Велика је важност благовременог мјесечног очитавања потрошње. Сваки дан кашњења или прераног очитања потрошње резултира промјеном износа губитака и до 3% за тај мјесец и у тој категорији потрошње, што ремети концепцију по којој је биланс сачињен.</w:t>
      </w:r>
    </w:p>
    <w:p w:rsidR="00310B99" w:rsidRDefault="00310B99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</w:p>
    <w:p w:rsidR="00FE1094" w:rsidRDefault="00885D07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Планирана потрошња електричне енергије обухвата:</w:t>
      </w:r>
    </w:p>
    <w:p w:rsidR="00885D07" w:rsidRDefault="00885D07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Нето потрошњу крајњих купаца које снабдијевају дистрибутивна предузећа,</w:t>
      </w:r>
    </w:p>
    <w:p w:rsidR="00885D07" w:rsidRDefault="002C5AFF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Губитке електричне енергије н</w:t>
      </w:r>
      <w:r>
        <w:rPr>
          <w:rFonts w:ascii="Arial" w:hAnsi="Arial" w:cs="Arial"/>
          <w:sz w:val="22"/>
          <w:szCs w:val="22"/>
        </w:rPr>
        <w:t>a</w:t>
      </w:r>
      <w:r w:rsidR="00885D07">
        <w:rPr>
          <w:rFonts w:ascii="Arial" w:hAnsi="Arial" w:cs="Arial"/>
          <w:sz w:val="22"/>
          <w:szCs w:val="22"/>
          <w:lang w:val="sr-Cyrl-CS"/>
        </w:rPr>
        <w:t xml:space="preserve"> дистрибутивној мрежи </w:t>
      </w:r>
    </w:p>
    <w:p w:rsidR="00885D07" w:rsidRDefault="00074294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Бруто дистрибутивну потрошњу.</w:t>
      </w:r>
    </w:p>
    <w:p w:rsidR="00885D07" w:rsidRDefault="00885D07" w:rsidP="00885D0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85D07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Cyrl-CS"/>
        </w:rPr>
        <w:t>Нето потрошња крајњих купаца на средњем и ниском напону, заједно са губицима електричне енергије на дистрибутивној мрежи, представља бруто дистрибутивну потр</w:t>
      </w:r>
      <w:r w:rsidR="00C25C2D">
        <w:rPr>
          <w:rFonts w:ascii="Arial" w:hAnsi="Arial" w:cs="Arial"/>
          <w:sz w:val="22"/>
          <w:szCs w:val="22"/>
          <w:lang w:val="sr-Cyrl-CS"/>
        </w:rPr>
        <w:t>о</w:t>
      </w:r>
      <w:r>
        <w:rPr>
          <w:rFonts w:ascii="Arial" w:hAnsi="Arial" w:cs="Arial"/>
          <w:sz w:val="22"/>
          <w:szCs w:val="22"/>
          <w:lang w:val="sr-Cyrl-CS"/>
        </w:rPr>
        <w:t xml:space="preserve">шњу. Потрошачи директно прикључени на 110 </w:t>
      </w:r>
      <w:r>
        <w:rPr>
          <w:rFonts w:ascii="Arial" w:hAnsi="Arial" w:cs="Arial"/>
          <w:sz w:val="22"/>
          <w:szCs w:val="22"/>
          <w:lang w:val="sr-Latn-BA"/>
        </w:rPr>
        <w:t xml:space="preserve">kV </w:t>
      </w:r>
      <w:r>
        <w:rPr>
          <w:rFonts w:ascii="Arial" w:hAnsi="Arial" w:cs="Arial"/>
          <w:sz w:val="22"/>
          <w:szCs w:val="22"/>
          <w:lang w:val="sr-Cyrl-CS"/>
        </w:rPr>
        <w:t xml:space="preserve">дистрибутивну мрежу </w:t>
      </w:r>
      <w:r>
        <w:rPr>
          <w:rFonts w:ascii="Arial" w:hAnsi="Arial" w:cs="Arial"/>
          <w:sz w:val="22"/>
          <w:szCs w:val="22"/>
          <w:lang w:val="sr-Cyrl-BA"/>
        </w:rPr>
        <w:t>код планирања ЕЕ биланса планирају се одвојено.</w:t>
      </w:r>
    </w:p>
    <w:p w:rsidR="00074294" w:rsidRDefault="00074294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</w:p>
    <w:p w:rsidR="00885D07" w:rsidRPr="00885D07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Cyrl-BA"/>
        </w:rPr>
        <w:lastRenderedPageBreak/>
        <w:t>Проценат планских губитака електричне енергије на дистрибутивној мрежи утврђен је у складу са нивоом губитака који је одобрен од стране Регулаторне комисије у претходном тарифном поступку</w:t>
      </w:r>
      <w:r w:rsidR="00777AA0">
        <w:rPr>
          <w:rFonts w:ascii="Arial" w:hAnsi="Arial" w:cs="Arial"/>
          <w:sz w:val="22"/>
          <w:szCs w:val="22"/>
          <w:lang w:val="sr-Cyrl-BA"/>
        </w:rPr>
        <w:t xml:space="preserve">. </w:t>
      </w:r>
    </w:p>
    <w:p w:rsidR="00885D07" w:rsidRPr="00885D07" w:rsidRDefault="00885D07" w:rsidP="00885D0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Поред потрошње, у е</w:t>
      </w:r>
      <w:r w:rsidR="00777AA0">
        <w:rPr>
          <w:rFonts w:ascii="Arial" w:hAnsi="Arial" w:cs="Arial"/>
          <w:sz w:val="22"/>
          <w:szCs w:val="22"/>
          <w:lang w:val="sr-Cyrl-CS"/>
        </w:rPr>
        <w:t>лектроенергетском билансу ЗЕДП ''</w:t>
      </w:r>
      <w:r w:rsidRPr="005A77A9">
        <w:rPr>
          <w:rFonts w:ascii="Arial" w:hAnsi="Arial" w:cs="Arial"/>
          <w:sz w:val="22"/>
          <w:szCs w:val="22"/>
          <w:lang w:val="sr-Cyrl-CS"/>
        </w:rPr>
        <w:t>Електро-Бијељине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'' </w:t>
      </w:r>
      <w:r w:rsidRPr="005A77A9">
        <w:rPr>
          <w:rFonts w:ascii="Arial" w:hAnsi="Arial" w:cs="Arial"/>
          <w:sz w:val="22"/>
          <w:szCs w:val="22"/>
          <w:lang w:val="sr-Cyrl-CS"/>
        </w:rPr>
        <w:t>а.д. садржана је и производња двије мале хидроелектране, Власеница и Тишча, које се налазе на подручју РЈ Власеница. Ове хидроелектране учествују у реализацији</w:t>
      </w:r>
      <w:r w:rsidR="00D120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ЗЕ</w:t>
      </w:r>
      <w:r w:rsidR="00777AA0">
        <w:rPr>
          <w:rFonts w:ascii="Arial" w:hAnsi="Arial" w:cs="Arial"/>
          <w:sz w:val="22"/>
          <w:szCs w:val="22"/>
          <w:lang w:val="sr-Cyrl-CS"/>
        </w:rPr>
        <w:t>ДП ''</w:t>
      </w:r>
      <w:r w:rsidRPr="005A77A9">
        <w:rPr>
          <w:rFonts w:ascii="Arial" w:hAnsi="Arial" w:cs="Arial"/>
          <w:sz w:val="22"/>
          <w:szCs w:val="22"/>
          <w:lang w:val="sr-Cyrl-CS"/>
        </w:rPr>
        <w:t>Електро-</w:t>
      </w:r>
      <w:r w:rsidR="00A65C84">
        <w:rPr>
          <w:rFonts w:ascii="Arial" w:hAnsi="Arial" w:cs="Arial"/>
          <w:sz w:val="22"/>
          <w:szCs w:val="22"/>
          <w:lang w:val="sr-Cyrl-CS"/>
        </w:rPr>
        <w:t>Бијељина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'' </w:t>
      </w:r>
      <w:r w:rsidR="00A65C84">
        <w:rPr>
          <w:rFonts w:ascii="Arial" w:hAnsi="Arial" w:cs="Arial"/>
          <w:sz w:val="22"/>
          <w:szCs w:val="22"/>
          <w:lang w:val="sr-Cyrl-CS"/>
        </w:rPr>
        <w:t xml:space="preserve">а.д. у износу од око </w:t>
      </w:r>
      <w:r w:rsidR="00C9490D">
        <w:rPr>
          <w:rFonts w:ascii="Arial" w:hAnsi="Arial" w:cs="Arial"/>
          <w:sz w:val="22"/>
          <w:szCs w:val="22"/>
          <w:lang w:val="sr-Cyrl-CS"/>
        </w:rPr>
        <w:t>1,2</w:t>
      </w:r>
      <w:r w:rsidRPr="005A77A9">
        <w:rPr>
          <w:rFonts w:ascii="Arial" w:hAnsi="Arial" w:cs="Arial"/>
          <w:sz w:val="22"/>
          <w:szCs w:val="22"/>
          <w:lang w:val="sr-Cyrl-CS"/>
        </w:rPr>
        <w:t>%, а у ре</w:t>
      </w:r>
      <w:r w:rsidR="00A65C84">
        <w:rPr>
          <w:rFonts w:ascii="Arial" w:hAnsi="Arial" w:cs="Arial"/>
          <w:sz w:val="22"/>
          <w:szCs w:val="22"/>
          <w:lang w:val="sr-Cyrl-CS"/>
        </w:rPr>
        <w:t>ализацији</w:t>
      </w:r>
      <w:r w:rsidR="00D120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="00A65C84">
        <w:rPr>
          <w:rFonts w:ascii="Arial" w:hAnsi="Arial" w:cs="Arial"/>
          <w:sz w:val="22"/>
          <w:szCs w:val="22"/>
          <w:lang w:val="sr-Cyrl-CS"/>
        </w:rPr>
        <w:t xml:space="preserve"> РЈ Власеница са чак </w:t>
      </w:r>
      <w:r w:rsidR="00C9490D">
        <w:rPr>
          <w:rFonts w:ascii="Arial" w:hAnsi="Arial" w:cs="Arial"/>
          <w:sz w:val="22"/>
          <w:szCs w:val="22"/>
          <w:lang w:val="sr-Cyrl-CS"/>
        </w:rPr>
        <w:t>12</w:t>
      </w:r>
      <w:r w:rsidRPr="005A77A9">
        <w:rPr>
          <w:rFonts w:ascii="Arial" w:hAnsi="Arial" w:cs="Arial"/>
          <w:sz w:val="22"/>
          <w:szCs w:val="22"/>
          <w:lang w:val="sr-Cyrl-CS"/>
        </w:rPr>
        <w:t>%.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 Годишња производња малих хидроелектрана планира се у износу који одговара просјечно оствареној производњи у претходних  10 календарских година.</w:t>
      </w:r>
    </w:p>
    <w:p w:rsidR="00310B99" w:rsidRDefault="00310B9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77AA0" w:rsidRPr="005A77A9" w:rsidRDefault="00777AA0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77AA0" w:rsidRPr="002F1DFB" w:rsidRDefault="00074294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41" w:name="_Toc481062252"/>
      <w:bookmarkStart w:id="42" w:name="_Toc505000325"/>
      <w:bookmarkStart w:id="43" w:name="_Toc505001140"/>
      <w:bookmarkStart w:id="44" w:name="_Toc505146385"/>
      <w:bookmarkStart w:id="45" w:name="_Toc506293263"/>
      <w:bookmarkStart w:id="46" w:name="_Toc506293297"/>
      <w:bookmarkStart w:id="47" w:name="_Toc506293426"/>
      <w:bookmarkStart w:id="48" w:name="_Toc34731945"/>
      <w:r w:rsidRPr="002F1DFB">
        <w:rPr>
          <w:rFonts w:ascii="Arial" w:hAnsi="Arial" w:cs="Arial"/>
          <w:sz w:val="22"/>
          <w:u w:val="single"/>
        </w:rPr>
        <w:t>Н</w:t>
      </w:r>
      <w:r w:rsidR="00777AA0" w:rsidRPr="002F1DFB">
        <w:rPr>
          <w:rFonts w:ascii="Arial" w:hAnsi="Arial" w:cs="Arial"/>
          <w:sz w:val="22"/>
          <w:u w:val="single"/>
        </w:rPr>
        <w:t>ето потрошња крајњих купаца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5F2202" w:rsidRPr="00777AA0" w:rsidRDefault="005F2202" w:rsidP="005F2202">
      <w:pPr>
        <w:pStyle w:val="ListParagraph"/>
        <w:jc w:val="both"/>
        <w:rPr>
          <w:rFonts w:ascii="Arial" w:hAnsi="Arial" w:cs="Arial"/>
          <w:b/>
          <w:sz w:val="22"/>
          <w:u w:val="single"/>
          <w:lang w:val="sr-Cyrl-CS"/>
        </w:rPr>
      </w:pPr>
    </w:p>
    <w:p w:rsidR="008D37FA" w:rsidRPr="008D37FA" w:rsidRDefault="005F2202" w:rsidP="008D37FA">
      <w:pPr>
        <w:pStyle w:val="Caption"/>
        <w:jc w:val="both"/>
        <w:rPr>
          <w:rFonts w:ascii="Arial" w:hAnsi="Arial" w:cs="Arial"/>
          <w:b w:val="0"/>
          <w:sz w:val="22"/>
          <w:szCs w:val="22"/>
        </w:rPr>
      </w:pPr>
      <w:r w:rsidRPr="008D37FA">
        <w:rPr>
          <w:rFonts w:ascii="Arial" w:hAnsi="Arial" w:cs="Arial"/>
          <w:b w:val="0"/>
          <w:sz w:val="22"/>
          <w:lang w:val="sr-Cyrl-CS"/>
        </w:rPr>
        <w:t>У наредној табели приказана је планирана годишња нето потрошња електричне енергије крајњих купаца које снабдијева ЗЕДП ''Електро-Бијељина'' а.д. Бијељина, исказана по категоријама потрошње дефинисаним Тарифним системом.</w:t>
      </w:r>
      <w:r w:rsidR="008D37FA" w:rsidRPr="008D37FA">
        <w:rPr>
          <w:rFonts w:ascii="Arial" w:hAnsi="Arial" w:cs="Arial"/>
          <w:b w:val="0"/>
          <w:sz w:val="22"/>
          <w:szCs w:val="22"/>
        </w:rPr>
        <w:t xml:space="preserve"> </w:t>
      </w:r>
    </w:p>
    <w:p w:rsidR="00074294" w:rsidRDefault="00074294" w:rsidP="00074294">
      <w:pPr>
        <w:jc w:val="both"/>
        <w:rPr>
          <w:rFonts w:ascii="Arial" w:hAnsi="Arial" w:cs="Arial"/>
          <w:sz w:val="22"/>
          <w:lang w:val="sr-Cyrl-CS"/>
        </w:rPr>
      </w:pPr>
    </w:p>
    <w:p w:rsidR="00074294" w:rsidRDefault="005F2202" w:rsidP="00074294">
      <w:pPr>
        <w:jc w:val="both"/>
        <w:rPr>
          <w:rFonts w:ascii="Arial" w:hAnsi="Arial" w:cs="Arial"/>
          <w:sz w:val="22"/>
          <w:lang w:val="sr-Cyrl-CS"/>
        </w:rPr>
        <w:sectPr w:rsidR="00074294" w:rsidSect="007C42BA"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lang w:val="sr-Cyrl-CS"/>
        </w:rPr>
        <w:t xml:space="preserve"> </w:t>
      </w:r>
    </w:p>
    <w:p w:rsidR="00CA744E" w:rsidRDefault="005A77A9" w:rsidP="005A77A9">
      <w:pPr>
        <w:jc w:val="both"/>
      </w:pPr>
      <w:r w:rsidRPr="005A77A9">
        <w:rPr>
          <w:rFonts w:ascii="Arial" w:hAnsi="Arial" w:cs="Arial"/>
          <w:b/>
          <w:sz w:val="22"/>
          <w:szCs w:val="20"/>
          <w:lang w:val="sr-Latn-CS"/>
        </w:rPr>
        <w:lastRenderedPageBreak/>
        <w:t xml:space="preserve">   </w:t>
      </w:r>
      <w:r w:rsidRPr="005A77A9">
        <w:rPr>
          <w:rFonts w:ascii="Arial" w:hAnsi="Arial" w:cs="Arial"/>
          <w:b/>
          <w:sz w:val="22"/>
          <w:szCs w:val="20"/>
          <w:lang w:val="sr-Cyrl-RS"/>
        </w:rPr>
        <w:t xml:space="preserve">   </w:t>
      </w:r>
    </w:p>
    <w:p w:rsidR="005A77A9" w:rsidRPr="000952E1" w:rsidRDefault="00CA744E" w:rsidP="00CA744E">
      <w:pPr>
        <w:pStyle w:val="Caption"/>
        <w:keepNext/>
        <w:jc w:val="both"/>
        <w:rPr>
          <w:rFonts w:ascii="Arial" w:hAnsi="Arial" w:cs="Arial"/>
          <w:b w:val="0"/>
          <w:color w:val="FF0000"/>
          <w:szCs w:val="22"/>
        </w:rPr>
      </w:pPr>
      <w:r w:rsidRPr="000952E1">
        <w:rPr>
          <w:rFonts w:ascii="Arial" w:hAnsi="Arial" w:cs="Arial"/>
          <w:b w:val="0"/>
          <w:color w:val="FF0000"/>
          <w:szCs w:val="22"/>
          <w:lang w:val="sr-Cyrl-BA"/>
        </w:rPr>
        <w:t xml:space="preserve">     </w:t>
      </w:r>
      <w:bookmarkStart w:id="49" w:name="_Toc482180877"/>
      <w:bookmarkStart w:id="50" w:name="_Toc33694925"/>
      <w:proofErr w:type="gramStart"/>
      <w:r w:rsidRPr="007414CE">
        <w:rPr>
          <w:rFonts w:ascii="Arial" w:hAnsi="Arial" w:cs="Arial"/>
          <w:b w:val="0"/>
          <w:szCs w:val="22"/>
        </w:rPr>
        <w:t xml:space="preserve">Табела </w:t>
      </w:r>
      <w:proofErr w:type="gramEnd"/>
      <w:r w:rsidRPr="007414CE">
        <w:rPr>
          <w:rFonts w:ascii="Arial" w:hAnsi="Arial" w:cs="Arial"/>
          <w:b w:val="0"/>
          <w:szCs w:val="22"/>
        </w:rPr>
        <w:fldChar w:fldCharType="begin"/>
      </w:r>
      <w:r w:rsidRPr="007414CE">
        <w:rPr>
          <w:rFonts w:ascii="Arial" w:hAnsi="Arial" w:cs="Arial"/>
          <w:b w:val="0"/>
          <w:szCs w:val="22"/>
        </w:rPr>
        <w:instrText xml:space="preserve"> SEQ Табела \* ARABIC </w:instrText>
      </w:r>
      <w:r w:rsidRPr="007414CE">
        <w:rPr>
          <w:rFonts w:ascii="Arial" w:hAnsi="Arial" w:cs="Arial"/>
          <w:b w:val="0"/>
          <w:szCs w:val="22"/>
        </w:rPr>
        <w:fldChar w:fldCharType="separate"/>
      </w:r>
      <w:r w:rsidR="008D5749">
        <w:rPr>
          <w:rFonts w:ascii="Arial" w:hAnsi="Arial" w:cs="Arial"/>
          <w:b w:val="0"/>
          <w:noProof/>
          <w:szCs w:val="22"/>
        </w:rPr>
        <w:t>2</w:t>
      </w:r>
      <w:r w:rsidRPr="007414CE">
        <w:rPr>
          <w:rFonts w:ascii="Arial" w:hAnsi="Arial" w:cs="Arial"/>
          <w:b w:val="0"/>
          <w:szCs w:val="22"/>
        </w:rPr>
        <w:fldChar w:fldCharType="end"/>
      </w:r>
      <w:proofErr w:type="gramStart"/>
      <w:r w:rsidRPr="007414CE">
        <w:rPr>
          <w:rFonts w:ascii="Arial" w:hAnsi="Arial" w:cs="Arial"/>
          <w:b w:val="0"/>
          <w:szCs w:val="22"/>
          <w:lang w:val="sr-Cyrl-BA"/>
        </w:rPr>
        <w:t xml:space="preserve">  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Е</w:t>
      </w:r>
      <w:r w:rsidRPr="007414CE">
        <w:rPr>
          <w:rFonts w:ascii="Arial" w:hAnsi="Arial" w:cs="Arial"/>
          <w:b w:val="0"/>
          <w:szCs w:val="22"/>
          <w:lang w:val="sr-Cyrl-CS"/>
        </w:rPr>
        <w:t xml:space="preserve">лектроенергетски биланс 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ЗЕДП ''Е</w:t>
      </w:r>
      <w:r w:rsidRPr="007414CE">
        <w:rPr>
          <w:rFonts w:ascii="Arial" w:hAnsi="Arial" w:cs="Arial"/>
          <w:b w:val="0"/>
          <w:szCs w:val="22"/>
          <w:lang w:val="sr-Cyrl-CS"/>
        </w:rPr>
        <w:t>лектро-Бијељина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'</w:t>
      </w:r>
      <w:r w:rsidRPr="007414CE">
        <w:rPr>
          <w:rFonts w:ascii="Arial" w:hAnsi="Arial" w:cs="Arial"/>
          <w:b w:val="0"/>
          <w:szCs w:val="22"/>
          <w:lang w:val="sr-Cyrl-CS"/>
        </w:rPr>
        <w:t>'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 xml:space="preserve"> </w:t>
      </w:r>
      <w:r w:rsidRPr="007414CE">
        <w:rPr>
          <w:rFonts w:ascii="Arial" w:hAnsi="Arial" w:cs="Arial"/>
          <w:b w:val="0"/>
          <w:szCs w:val="22"/>
          <w:lang w:val="sr-Cyrl-CS"/>
        </w:rPr>
        <w:t>а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.</w:t>
      </w:r>
      <w:r w:rsidRPr="007414CE">
        <w:rPr>
          <w:rFonts w:ascii="Arial" w:hAnsi="Arial" w:cs="Arial"/>
          <w:b w:val="0"/>
          <w:szCs w:val="22"/>
          <w:lang w:val="sr-Cyrl-CS"/>
        </w:rPr>
        <w:t>д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 xml:space="preserve">. </w:t>
      </w:r>
      <w:r w:rsidRPr="007414CE">
        <w:rPr>
          <w:rFonts w:ascii="Arial" w:hAnsi="Arial" w:cs="Arial"/>
          <w:b w:val="0"/>
          <w:szCs w:val="22"/>
          <w:lang w:val="sr-Cyrl-CS"/>
        </w:rPr>
        <w:t xml:space="preserve">Бијељина 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за 20</w:t>
      </w:r>
      <w:r w:rsidR="00641222">
        <w:rPr>
          <w:rFonts w:ascii="Arial" w:hAnsi="Arial" w:cs="Arial"/>
          <w:b w:val="0"/>
          <w:szCs w:val="22"/>
          <w:lang w:val="sr-Latn-BA"/>
        </w:rPr>
        <w:t>20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>.</w:t>
      </w:r>
      <w:proofErr w:type="gramEnd"/>
      <w:r w:rsidR="005A77A9" w:rsidRPr="007414CE">
        <w:rPr>
          <w:rFonts w:ascii="Arial" w:hAnsi="Arial" w:cs="Arial"/>
          <w:b w:val="0"/>
          <w:szCs w:val="22"/>
          <w:lang w:val="sr-Cyrl-CS"/>
        </w:rPr>
        <w:t xml:space="preserve"> годину</w:t>
      </w:r>
      <w:bookmarkEnd w:id="49"/>
      <w:bookmarkEnd w:id="50"/>
      <w:r w:rsidR="005A77A9" w:rsidRPr="007414CE">
        <w:rPr>
          <w:rFonts w:ascii="Arial" w:hAnsi="Arial" w:cs="Arial"/>
          <w:b w:val="0"/>
          <w:szCs w:val="22"/>
        </w:rPr>
        <w:t xml:space="preserve"> </w:t>
      </w:r>
      <w:r w:rsidR="005A77A9" w:rsidRPr="007414CE">
        <w:rPr>
          <w:rFonts w:ascii="Arial" w:hAnsi="Arial" w:cs="Arial"/>
          <w:b w:val="0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 xml:space="preserve">               </w:t>
      </w:r>
      <w:r w:rsidR="005A77A9" w:rsidRPr="007414CE">
        <w:rPr>
          <w:rFonts w:ascii="Arial" w:hAnsi="Arial" w:cs="Arial"/>
          <w:b w:val="0"/>
          <w:szCs w:val="22"/>
          <w:lang w:val="sr-Latn-CS"/>
        </w:rPr>
        <w:t xml:space="preserve">                         </w:t>
      </w:r>
      <w:r w:rsidR="005A77A9" w:rsidRPr="007414CE">
        <w:rPr>
          <w:rFonts w:ascii="Arial" w:hAnsi="Arial" w:cs="Arial"/>
          <w:b w:val="0"/>
          <w:szCs w:val="22"/>
          <w:lang w:val="sr-Cyrl-CS"/>
        </w:rPr>
        <w:t xml:space="preserve">                            </w:t>
      </w:r>
    </w:p>
    <w:p w:rsidR="005A77A9" w:rsidRPr="005A77A9" w:rsidRDefault="005A77A9" w:rsidP="005A77A9">
      <w:pPr>
        <w:ind w:left="-180"/>
        <w:jc w:val="both"/>
        <w:rPr>
          <w:rFonts w:ascii="Arial" w:hAnsi="Arial" w:cs="Arial"/>
          <w:sz w:val="22"/>
          <w:szCs w:val="20"/>
          <w:lang w:val="sr-Latn-CS"/>
        </w:rPr>
      </w:pPr>
    </w:p>
    <w:p w:rsidR="005A77A9" w:rsidRDefault="00753D29" w:rsidP="00A65C84">
      <w:pPr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noProof/>
          <w:sz w:val="22"/>
          <w:lang w:val="sr-Latn-BA" w:eastAsia="sr-Latn-BA"/>
        </w:rPr>
        <w:drawing>
          <wp:inline distT="0" distB="0" distL="0" distR="0">
            <wp:extent cx="8505825" cy="3038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008" cy="30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29" w:rsidRDefault="00753D29" w:rsidP="00A65C84">
      <w:pPr>
        <w:jc w:val="center"/>
        <w:rPr>
          <w:rFonts w:ascii="Arial" w:hAnsi="Arial" w:cs="Arial"/>
          <w:b/>
          <w:sz w:val="22"/>
          <w:lang w:val="sr-Latn-RS"/>
        </w:rPr>
      </w:pPr>
    </w:p>
    <w:p w:rsidR="00753D29" w:rsidRDefault="00753D29" w:rsidP="007B1C47">
      <w:pPr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noProof/>
          <w:sz w:val="22"/>
          <w:lang w:val="sr-Latn-BA" w:eastAsia="sr-Latn-BA"/>
        </w:rPr>
        <w:drawing>
          <wp:inline distT="0" distB="0" distL="0" distR="0">
            <wp:extent cx="8610600" cy="102867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78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29" w:rsidRDefault="00753D29" w:rsidP="00A65C84">
      <w:pPr>
        <w:jc w:val="center"/>
        <w:rPr>
          <w:rFonts w:ascii="Arial" w:hAnsi="Arial" w:cs="Arial"/>
          <w:b/>
          <w:sz w:val="22"/>
          <w:lang w:val="sr-Latn-RS"/>
        </w:rPr>
      </w:pPr>
    </w:p>
    <w:p w:rsidR="00753D29" w:rsidRPr="00A209FD" w:rsidRDefault="00753D29" w:rsidP="00A65C84">
      <w:pPr>
        <w:jc w:val="center"/>
        <w:rPr>
          <w:rFonts w:ascii="Arial" w:hAnsi="Arial" w:cs="Arial"/>
          <w:b/>
          <w:sz w:val="22"/>
          <w:lang w:val="sr-Latn-RS"/>
        </w:rPr>
        <w:sectPr w:rsidR="00753D29" w:rsidRPr="00A209FD" w:rsidSect="00074294">
          <w:pgSz w:w="15840" w:h="12240" w:orient="landscape" w:code="1"/>
          <w:pgMar w:top="1440" w:right="1080" w:bottom="1440" w:left="720" w:header="706" w:footer="706" w:gutter="0"/>
          <w:cols w:space="708"/>
          <w:docGrid w:linePitch="360"/>
        </w:sectPr>
      </w:pPr>
    </w:p>
    <w:p w:rsidR="00074294" w:rsidRPr="00EB0E84" w:rsidRDefault="002F1DFB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51" w:name="_Toc481062253"/>
      <w:bookmarkStart w:id="52" w:name="_Toc505000326"/>
      <w:bookmarkStart w:id="53" w:name="_Toc505001141"/>
      <w:bookmarkStart w:id="54" w:name="_Toc505146386"/>
      <w:bookmarkStart w:id="55" w:name="_Toc506293264"/>
      <w:bookmarkStart w:id="56" w:name="_Toc506293298"/>
      <w:bookmarkStart w:id="57" w:name="_Toc506293427"/>
      <w:bookmarkStart w:id="58" w:name="_Toc34731946"/>
      <w:r w:rsidRPr="00EB0E84">
        <w:rPr>
          <w:rFonts w:ascii="Arial" w:hAnsi="Arial" w:cs="Arial"/>
          <w:sz w:val="22"/>
          <w:u w:val="single"/>
        </w:rPr>
        <w:lastRenderedPageBreak/>
        <w:t>Дистрибутивни губици електричне енергије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EB0E84" w:rsidRPr="00EB0E84" w:rsidRDefault="00EB0E84" w:rsidP="00EB0E84">
      <w:pPr>
        <w:rPr>
          <w:lang w:val="sr-Cyrl-CS"/>
        </w:rPr>
      </w:pPr>
    </w:p>
    <w:p w:rsidR="002F1DFB" w:rsidRDefault="00074294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 w:rsidRPr="00074294">
        <w:rPr>
          <w:rFonts w:ascii="Arial" w:hAnsi="Arial" w:cs="Arial"/>
          <w:sz w:val="22"/>
          <w:szCs w:val="20"/>
          <w:lang w:val="sr-Cyrl-BA"/>
        </w:rPr>
        <w:t>П</w:t>
      </w:r>
      <w:r w:rsidR="002F1DFB">
        <w:rPr>
          <w:rFonts w:ascii="Arial" w:hAnsi="Arial" w:cs="Arial"/>
          <w:sz w:val="22"/>
          <w:szCs w:val="20"/>
          <w:lang w:val="sr-Cyrl-BA"/>
        </w:rPr>
        <w:t xml:space="preserve">рема узроку настанка, губитке у електроенергетском систему можемо подијелити у двије основне групе: техничке и нетехничке (комерцијалне) губитке. </w:t>
      </w:r>
    </w:p>
    <w:p w:rsidR="002F1DFB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>
        <w:rPr>
          <w:rFonts w:ascii="Arial" w:hAnsi="Arial" w:cs="Arial"/>
          <w:sz w:val="22"/>
          <w:szCs w:val="20"/>
          <w:lang w:val="sr-Cyrl-BA"/>
        </w:rPr>
        <w:t>Технички губици су одређени стањем и нивоом одржавања електроенергетског система (конфигурацијом мреже, бројем система трансформације, параметрима водова и трансформатора, структуром и локацијом извора и потрошача, структуром потрошње електричне е</w:t>
      </w:r>
      <w:r w:rsidR="00C22834">
        <w:rPr>
          <w:rFonts w:ascii="Arial" w:hAnsi="Arial" w:cs="Arial"/>
          <w:sz w:val="22"/>
          <w:szCs w:val="20"/>
          <w:lang w:val="sr-Cyrl-BA"/>
        </w:rPr>
        <w:t>нергије и сл.) и представљају н</w:t>
      </w:r>
      <w:r w:rsidR="00C22834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sz w:val="22"/>
          <w:szCs w:val="20"/>
          <w:lang w:val="sr-Cyrl-BA"/>
        </w:rPr>
        <w:t>избјежну последицу физич</w:t>
      </w:r>
      <w:r w:rsidR="00C43362">
        <w:rPr>
          <w:rFonts w:ascii="Arial" w:hAnsi="Arial" w:cs="Arial"/>
          <w:sz w:val="22"/>
          <w:szCs w:val="20"/>
          <w:lang w:val="sr-Cyrl-BA"/>
        </w:rPr>
        <w:t>ког процеса у електроенергетски</w:t>
      </w:r>
      <w:r>
        <w:rPr>
          <w:rFonts w:ascii="Arial" w:hAnsi="Arial" w:cs="Arial"/>
          <w:sz w:val="22"/>
          <w:szCs w:val="20"/>
          <w:lang w:val="sr-Cyrl-BA"/>
        </w:rPr>
        <w:t>м</w:t>
      </w:r>
      <w:r w:rsidR="00C43362">
        <w:rPr>
          <w:rFonts w:ascii="Arial" w:hAnsi="Arial" w:cs="Arial"/>
          <w:sz w:val="22"/>
          <w:szCs w:val="20"/>
          <w:lang w:val="sr-Latn-BA"/>
        </w:rPr>
        <w:t xml:space="preserve"> </w:t>
      </w:r>
      <w:r>
        <w:rPr>
          <w:rFonts w:ascii="Arial" w:hAnsi="Arial" w:cs="Arial"/>
          <w:sz w:val="22"/>
          <w:szCs w:val="20"/>
          <w:lang w:val="sr-Cyrl-BA"/>
        </w:rPr>
        <w:t xml:space="preserve">водовима и трансформаторима. </w:t>
      </w:r>
    </w:p>
    <w:p w:rsidR="00074294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>
        <w:rPr>
          <w:rFonts w:ascii="Arial" w:hAnsi="Arial" w:cs="Arial"/>
          <w:sz w:val="22"/>
          <w:szCs w:val="20"/>
          <w:lang w:val="sr-Cyrl-BA"/>
        </w:rPr>
        <w:t xml:space="preserve">Нетехнички (комерцијални) губици су последица крађе електричне енергије, али и непрецизности мјерења, неистовремености очитања, нетачности очитања и слично. </w:t>
      </w:r>
    </w:p>
    <w:p w:rsidR="005A77A9" w:rsidRPr="00487896" w:rsidRDefault="0033362E" w:rsidP="0033362E">
      <w:pPr>
        <w:pStyle w:val="Caption"/>
        <w:rPr>
          <w:rFonts w:ascii="Arial" w:hAnsi="Arial" w:cs="Arial"/>
          <w:b w:val="0"/>
          <w:lang w:val="sr-Cyrl-CS"/>
        </w:rPr>
      </w:pPr>
      <w:bookmarkStart w:id="59" w:name="_Toc482180878"/>
      <w:bookmarkStart w:id="60" w:name="_Toc33694926"/>
      <w:r w:rsidRPr="00487896">
        <w:rPr>
          <w:rFonts w:ascii="Arial" w:hAnsi="Arial" w:cs="Arial"/>
          <w:b w:val="0"/>
        </w:rPr>
        <w:t xml:space="preserve">Табела </w:t>
      </w:r>
      <w:r w:rsidRPr="00487896">
        <w:rPr>
          <w:rFonts w:ascii="Arial" w:hAnsi="Arial" w:cs="Arial"/>
          <w:b w:val="0"/>
        </w:rPr>
        <w:fldChar w:fldCharType="begin"/>
      </w:r>
      <w:r w:rsidRPr="00487896">
        <w:rPr>
          <w:rFonts w:ascii="Arial" w:hAnsi="Arial" w:cs="Arial"/>
          <w:b w:val="0"/>
        </w:rPr>
        <w:instrText xml:space="preserve"> SEQ Табела \* ARABIC </w:instrText>
      </w:r>
      <w:r w:rsidRPr="00487896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3</w:t>
      </w:r>
      <w:r w:rsidRPr="00487896">
        <w:rPr>
          <w:rFonts w:ascii="Arial" w:hAnsi="Arial" w:cs="Arial"/>
          <w:b w:val="0"/>
        </w:rPr>
        <w:fldChar w:fldCharType="end"/>
      </w:r>
      <w:r w:rsidRPr="00487896">
        <w:rPr>
          <w:rFonts w:ascii="Arial" w:hAnsi="Arial" w:cs="Arial"/>
          <w:b w:val="0"/>
          <w:lang w:val="sr-Cyrl-BA"/>
        </w:rPr>
        <w:t xml:space="preserve"> - </w:t>
      </w:r>
      <w:r w:rsidR="005A77A9" w:rsidRPr="00487896">
        <w:rPr>
          <w:rFonts w:ascii="Arial" w:hAnsi="Arial" w:cs="Arial"/>
          <w:b w:val="0"/>
          <w:lang w:val="sr-Cyrl-CS"/>
        </w:rPr>
        <w:t>Упоредни показатељ</w:t>
      </w:r>
      <w:r w:rsidR="005A77A9" w:rsidRPr="00487896">
        <w:rPr>
          <w:rFonts w:ascii="Arial" w:hAnsi="Arial" w:cs="Arial"/>
          <w:b w:val="0"/>
          <w:lang w:val="sr-Cyrl-RS"/>
        </w:rPr>
        <w:t>и</w:t>
      </w:r>
      <w:bookmarkEnd w:id="59"/>
      <w:bookmarkEnd w:id="60"/>
      <w:r w:rsidR="007C42BA" w:rsidRPr="00487896">
        <w:rPr>
          <w:rFonts w:ascii="Arial" w:hAnsi="Arial" w:cs="Arial"/>
          <w:b w:val="0"/>
          <w:lang w:val="sr-Cyrl-RS"/>
        </w:rPr>
        <w:t xml:space="preserve"> </w:t>
      </w:r>
    </w:p>
    <w:tbl>
      <w:tblPr>
        <w:tblW w:w="9023" w:type="dxa"/>
        <w:tblInd w:w="85" w:type="dxa"/>
        <w:tblLook w:val="04A0" w:firstRow="1" w:lastRow="0" w:firstColumn="1" w:lastColumn="0" w:noHBand="0" w:noVBand="1"/>
      </w:tblPr>
      <w:tblGrid>
        <w:gridCol w:w="1032"/>
        <w:gridCol w:w="2861"/>
        <w:gridCol w:w="2160"/>
        <w:gridCol w:w="1980"/>
        <w:gridCol w:w="990"/>
      </w:tblGrid>
      <w:tr w:rsidR="008278C6" w:rsidRPr="008278C6" w:rsidTr="008278C6">
        <w:trPr>
          <w:trHeight w:val="840"/>
        </w:trPr>
        <w:tc>
          <w:tcPr>
            <w:tcW w:w="389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C6" w:rsidRPr="008278C6" w:rsidRDefault="008278C6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C6" w:rsidRPr="004D5839" w:rsidRDefault="007067FA" w:rsidP="008278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 2020</w:t>
            </w:r>
            <w:r w:rsidR="008278C6" w:rsidRPr="004D5839">
              <w:rPr>
                <w:rFonts w:ascii="Arial" w:hAnsi="Arial" w:cs="Arial"/>
                <w:b/>
                <w:bCs/>
                <w:sz w:val="20"/>
                <w:szCs w:val="20"/>
              </w:rPr>
              <w:t>.год.</w:t>
            </w:r>
          </w:p>
        </w:tc>
        <w:tc>
          <w:tcPr>
            <w:tcW w:w="19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C6" w:rsidRPr="008278C6" w:rsidRDefault="001367EF" w:rsidP="007067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 201</w:t>
            </w:r>
            <w:r w:rsidR="007067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8278C6"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.год.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8278C6" w:rsidRPr="008278C6" w:rsidRDefault="008278C6" w:rsidP="003F0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Индекс </w:t>
            </w:r>
            <w:r w:rsidR="003F03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2/3</w:t>
            </w:r>
          </w:p>
        </w:tc>
      </w:tr>
      <w:tr w:rsidR="008278C6" w:rsidRPr="008278C6" w:rsidTr="008278C6">
        <w:trPr>
          <w:trHeight w:val="330"/>
        </w:trPr>
        <w:tc>
          <w:tcPr>
            <w:tcW w:w="389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8C6" w:rsidRPr="008278C6" w:rsidRDefault="008278C6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C6" w:rsidRPr="004D5839" w:rsidRDefault="008278C6" w:rsidP="008278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83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C6" w:rsidRPr="008278C6" w:rsidRDefault="008278C6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278C6" w:rsidRPr="008278C6" w:rsidRDefault="008278C6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51A74" w:rsidRPr="008278C6" w:rsidTr="007067FA">
        <w:trPr>
          <w:trHeight w:val="435"/>
        </w:trPr>
        <w:tc>
          <w:tcPr>
            <w:tcW w:w="103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Преузета енергија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Са преносне мреже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0E4865" w:rsidP="000E48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606,95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1C20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116,09</w:t>
            </w:r>
          </w:p>
        </w:tc>
      </w:tr>
      <w:tr w:rsidR="00251A74" w:rsidRPr="008278C6" w:rsidTr="007067FA">
        <w:trPr>
          <w:trHeight w:val="435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Испорука у преносну мреже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103,92</w:t>
            </w:r>
          </w:p>
        </w:tc>
      </w:tr>
      <w:tr w:rsidR="00251A74" w:rsidRPr="008278C6" w:rsidTr="007067FA">
        <w:trPr>
          <w:trHeight w:val="405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Производња у МХЕ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0E48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</w:t>
            </w:r>
            <w:r w:rsidR="00251A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1C20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89,94</w:t>
            </w:r>
          </w:p>
        </w:tc>
      </w:tr>
      <w:tr w:rsidR="00251A74" w:rsidRPr="008278C6" w:rsidTr="007067FA">
        <w:trPr>
          <w:trHeight w:val="390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Из других система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1C20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31,63</w:t>
            </w:r>
          </w:p>
        </w:tc>
      </w:tr>
      <w:tr w:rsidR="00251A74" w:rsidRPr="008278C6" w:rsidTr="007067FA">
        <w:trPr>
          <w:trHeight w:val="465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потрошња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749,23</w:t>
            </w:r>
          </w:p>
        </w:tc>
        <w:tc>
          <w:tcPr>
            <w:tcW w:w="19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732,86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102,23</w:t>
            </w:r>
          </w:p>
        </w:tc>
      </w:tr>
      <w:tr w:rsidR="00251A74" w:rsidRPr="008278C6" w:rsidTr="007067FA">
        <w:trPr>
          <w:trHeight w:val="390"/>
        </w:trPr>
        <w:tc>
          <w:tcPr>
            <w:tcW w:w="103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ГУБИЦИ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GWh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82,84</w:t>
            </w:r>
          </w:p>
        </w:tc>
        <w:tc>
          <w:tcPr>
            <w:tcW w:w="1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118,01</w:t>
            </w:r>
          </w:p>
        </w:tc>
      </w:tr>
      <w:tr w:rsidR="00251A74" w:rsidRPr="008278C6" w:rsidTr="007067FA">
        <w:trPr>
          <w:trHeight w:val="480"/>
        </w:trPr>
        <w:tc>
          <w:tcPr>
            <w:tcW w:w="103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без 110 kV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10,83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115,46</w:t>
            </w:r>
          </w:p>
        </w:tc>
      </w:tr>
      <w:tr w:rsidR="00251A74" w:rsidRPr="008278C6" w:rsidTr="007067FA">
        <w:trPr>
          <w:trHeight w:val="405"/>
        </w:trPr>
        <w:tc>
          <w:tcPr>
            <w:tcW w:w="103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РЕАЛИЗАЦИЈА</w:t>
            </w:r>
          </w:p>
        </w:tc>
        <w:tc>
          <w:tcPr>
            <w:tcW w:w="28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Нето потрошња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666,39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662,67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5F1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100,56</w:t>
            </w:r>
          </w:p>
        </w:tc>
      </w:tr>
      <w:tr w:rsidR="00251A74" w:rsidRPr="008278C6" w:rsidTr="007067FA">
        <w:trPr>
          <w:trHeight w:val="315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 xml:space="preserve">  35 kV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102,88</w:t>
            </w:r>
          </w:p>
        </w:tc>
      </w:tr>
      <w:tr w:rsidR="00251A74" w:rsidRPr="008278C6" w:rsidTr="007067FA">
        <w:trPr>
          <w:trHeight w:val="300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 xml:space="preserve"> 10 kV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1C20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99,99</w:t>
            </w:r>
          </w:p>
        </w:tc>
      </w:tr>
      <w:tr w:rsidR="00251A74" w:rsidRPr="008278C6" w:rsidTr="007067FA">
        <w:trPr>
          <w:trHeight w:val="390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Домаћинства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371,44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100,1</w:t>
            </w:r>
          </w:p>
        </w:tc>
      </w:tr>
      <w:tr w:rsidR="00251A74" w:rsidRPr="008278C6" w:rsidTr="007067FA">
        <w:trPr>
          <w:trHeight w:val="375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 xml:space="preserve"> 0.4 kV ост. потрошња*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102,24</w:t>
            </w:r>
          </w:p>
        </w:tc>
      </w:tr>
      <w:tr w:rsidR="00251A74" w:rsidRPr="008278C6" w:rsidTr="007067FA">
        <w:trPr>
          <w:trHeight w:val="390"/>
        </w:trPr>
        <w:tc>
          <w:tcPr>
            <w:tcW w:w="103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 xml:space="preserve"> Јавна расвјета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101,17</w:t>
            </w:r>
          </w:p>
        </w:tc>
      </w:tr>
      <w:tr w:rsidR="00251A74" w:rsidRPr="008278C6" w:rsidTr="007067FA">
        <w:trPr>
          <w:trHeight w:val="480"/>
        </w:trPr>
        <w:tc>
          <w:tcPr>
            <w:tcW w:w="10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74" w:rsidRPr="008278C6" w:rsidRDefault="00251A74" w:rsidP="00827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8C6">
              <w:rPr>
                <w:rFonts w:ascii="Arial" w:hAnsi="Arial" w:cs="Arial"/>
                <w:color w:val="000000"/>
                <w:sz w:val="20"/>
                <w:szCs w:val="20"/>
              </w:rPr>
              <w:t>Директни потрошач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132,00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119,29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1A74" w:rsidRDefault="00251A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110,65</w:t>
            </w:r>
          </w:p>
        </w:tc>
      </w:tr>
    </w:tbl>
    <w:p w:rsidR="0096467F" w:rsidRPr="0096467F" w:rsidRDefault="0096467F" w:rsidP="005A77A9">
      <w:pPr>
        <w:keepNext/>
        <w:jc w:val="center"/>
        <w:outlineLvl w:val="0"/>
        <w:rPr>
          <w:rFonts w:ascii="Arial" w:hAnsi="Arial" w:cs="Arial"/>
          <w:b/>
          <w:sz w:val="20"/>
          <w:szCs w:val="20"/>
          <w:lang w:val="sr-Latn-RS"/>
        </w:rPr>
      </w:pPr>
    </w:p>
    <w:p w:rsidR="00A65C84" w:rsidRDefault="00A65C84" w:rsidP="0041660D">
      <w:pPr>
        <w:jc w:val="center"/>
        <w:rPr>
          <w:noProof/>
        </w:rPr>
      </w:pPr>
    </w:p>
    <w:p w:rsidR="0078358D" w:rsidRDefault="0078358D" w:rsidP="0041660D">
      <w:pPr>
        <w:jc w:val="center"/>
        <w:rPr>
          <w:noProof/>
        </w:rPr>
      </w:pPr>
    </w:p>
    <w:p w:rsidR="0078358D" w:rsidRPr="005A77A9" w:rsidRDefault="0078358D" w:rsidP="0041660D">
      <w:pPr>
        <w:jc w:val="center"/>
        <w:rPr>
          <w:sz w:val="20"/>
          <w:szCs w:val="20"/>
          <w:lang w:val="sr-Cyrl-CS"/>
        </w:rPr>
      </w:pPr>
    </w:p>
    <w:p w:rsidR="005A77A9" w:rsidRPr="005A77A9" w:rsidRDefault="005A77A9" w:rsidP="005A77A9">
      <w:pPr>
        <w:tabs>
          <w:tab w:val="left" w:pos="1470"/>
        </w:tabs>
        <w:rPr>
          <w:sz w:val="20"/>
          <w:lang w:val="sr-Cyrl-RS"/>
        </w:rPr>
      </w:pPr>
    </w:p>
    <w:p w:rsidR="007C42BA" w:rsidRDefault="007C42BA" w:rsidP="007C42BA">
      <w:pPr>
        <w:pStyle w:val="Caption"/>
        <w:rPr>
          <w:rFonts w:ascii="Arial" w:hAnsi="Arial" w:cs="Arial"/>
          <w:b w:val="0"/>
          <w:sz w:val="22"/>
          <w:szCs w:val="22"/>
        </w:rPr>
      </w:pPr>
    </w:p>
    <w:p w:rsidR="0078358D" w:rsidRDefault="0078358D" w:rsidP="0078358D"/>
    <w:p w:rsidR="0078358D" w:rsidRDefault="0078358D" w:rsidP="0078358D"/>
    <w:p w:rsidR="0078358D" w:rsidRPr="00EB0E84" w:rsidRDefault="00D62DB6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szCs w:val="22"/>
          <w:u w:val="single"/>
          <w:lang w:val="sr-Latn-CS"/>
        </w:rPr>
      </w:pPr>
      <w:bookmarkStart w:id="61" w:name="_Toc481062254"/>
      <w:bookmarkStart w:id="62" w:name="_Toc505000327"/>
      <w:bookmarkStart w:id="63" w:name="_Toc505001142"/>
      <w:bookmarkStart w:id="64" w:name="_Toc505146387"/>
      <w:bookmarkStart w:id="65" w:name="_Toc506293265"/>
      <w:bookmarkStart w:id="66" w:name="_Toc506293299"/>
      <w:bookmarkStart w:id="67" w:name="_Toc506293428"/>
      <w:bookmarkStart w:id="68" w:name="_Toc34731947"/>
      <w:r w:rsidRPr="00EB0E84">
        <w:rPr>
          <w:rFonts w:ascii="Arial" w:hAnsi="Arial" w:cs="Arial"/>
          <w:sz w:val="22"/>
          <w:szCs w:val="22"/>
          <w:u w:val="single"/>
        </w:rPr>
        <w:lastRenderedPageBreak/>
        <w:t>Бруто дистрибутивна потрошња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78358D" w:rsidRDefault="0078358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78358D" w:rsidRPr="007F60BF" w:rsidRDefault="0078358D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5A77A9">
        <w:rPr>
          <w:rFonts w:ascii="Arial" w:hAnsi="Arial" w:cs="Arial"/>
          <w:bCs/>
          <w:sz w:val="22"/>
          <w:szCs w:val="22"/>
          <w:lang w:val="sr-Latn-CS"/>
        </w:rPr>
        <w:t>Дистрибутивна пoтрoшња према критериjумима за израду електрoенергетскoг биланса планира се у изнoсу кojи oдгoвара oстваренoj пoтрoшњи у прoтеклoj гoдини увећанoj за прoсечну стoпу п</w:t>
      </w:r>
      <w:r w:rsidR="006557CE">
        <w:rPr>
          <w:rFonts w:ascii="Arial" w:hAnsi="Arial" w:cs="Arial"/>
          <w:bCs/>
          <w:sz w:val="22"/>
          <w:szCs w:val="22"/>
          <w:lang w:val="sr-Latn-CS"/>
        </w:rPr>
        <w:t xml:space="preserve">oраста пoтрoшње у прoтекле три 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>гoдине. Oцjена jе да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ће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 xml:space="preserve"> Брутo пoтрoшња закључнo са 31.12.20</w:t>
      </w:r>
      <w:r w:rsidR="00B20E49">
        <w:rPr>
          <w:rFonts w:ascii="Arial" w:hAnsi="Arial" w:cs="Arial"/>
          <w:bCs/>
          <w:sz w:val="22"/>
          <w:szCs w:val="22"/>
          <w:lang w:val="sr-Latn-BA"/>
        </w:rPr>
        <w:t>20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 xml:space="preserve">. гoдине изнoсити </w:t>
      </w:r>
      <w:r w:rsidR="007F60BF">
        <w:rPr>
          <w:rFonts w:ascii="Arial" w:hAnsi="Arial" w:cs="Arial"/>
          <w:bCs/>
          <w:sz w:val="22"/>
          <w:szCs w:val="22"/>
          <w:lang w:val="sr-Cyrl-RS"/>
        </w:rPr>
        <w:t>8</w:t>
      </w:r>
      <w:r w:rsidR="007F60BF">
        <w:rPr>
          <w:rFonts w:ascii="Arial" w:hAnsi="Arial" w:cs="Arial"/>
          <w:bCs/>
          <w:sz w:val="22"/>
          <w:szCs w:val="22"/>
          <w:lang w:val="sr-Latn-BA"/>
        </w:rPr>
        <w:t>81</w:t>
      </w:r>
      <w:r w:rsidR="007F60BF">
        <w:rPr>
          <w:rFonts w:ascii="Arial" w:hAnsi="Arial" w:cs="Arial"/>
          <w:bCs/>
          <w:sz w:val="22"/>
          <w:szCs w:val="22"/>
          <w:lang w:val="sr-Cyrl-RS"/>
        </w:rPr>
        <w:t>,</w:t>
      </w:r>
      <w:r w:rsidR="007F60BF">
        <w:rPr>
          <w:rFonts w:ascii="Arial" w:hAnsi="Arial" w:cs="Arial"/>
          <w:bCs/>
          <w:sz w:val="22"/>
          <w:szCs w:val="22"/>
          <w:lang w:val="sr-Latn-BA"/>
        </w:rPr>
        <w:t>23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 xml:space="preserve"> GWh, а нетo пoтрoшња у изнoсу oд </w:t>
      </w:r>
      <w:r w:rsidR="007F60BF">
        <w:rPr>
          <w:rFonts w:ascii="Arial" w:hAnsi="Arial" w:cs="Arial"/>
          <w:bCs/>
          <w:sz w:val="22"/>
          <w:szCs w:val="22"/>
          <w:lang w:val="sr-Cyrl-RS"/>
        </w:rPr>
        <w:t>7</w:t>
      </w:r>
      <w:r w:rsidR="007F60BF">
        <w:rPr>
          <w:rFonts w:ascii="Arial" w:hAnsi="Arial" w:cs="Arial"/>
          <w:bCs/>
          <w:sz w:val="22"/>
          <w:szCs w:val="22"/>
          <w:lang w:val="sr-Latn-BA"/>
        </w:rPr>
        <w:t>98</w:t>
      </w:r>
      <w:r w:rsidR="007F60BF">
        <w:rPr>
          <w:rFonts w:ascii="Arial" w:hAnsi="Arial" w:cs="Arial"/>
          <w:bCs/>
          <w:sz w:val="22"/>
          <w:szCs w:val="22"/>
          <w:lang w:val="sr-Cyrl-RS"/>
        </w:rPr>
        <w:t>,</w:t>
      </w:r>
      <w:r w:rsidR="007F60BF">
        <w:rPr>
          <w:rFonts w:ascii="Arial" w:hAnsi="Arial" w:cs="Arial"/>
          <w:bCs/>
          <w:sz w:val="22"/>
          <w:szCs w:val="22"/>
          <w:lang w:val="sr-Latn-BA"/>
        </w:rPr>
        <w:t>39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 xml:space="preserve"> GWh</w:t>
      </w:r>
      <w:r w:rsidR="00D62DB6">
        <w:rPr>
          <w:rFonts w:ascii="Arial" w:hAnsi="Arial" w:cs="Arial"/>
          <w:bCs/>
          <w:sz w:val="22"/>
          <w:szCs w:val="22"/>
          <w:lang w:val="sr-Cyrl-BA"/>
        </w:rPr>
        <w:t>.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7F60BF">
        <w:rPr>
          <w:rFonts w:ascii="Arial" w:hAnsi="Arial" w:cs="Arial"/>
          <w:bCs/>
          <w:sz w:val="22"/>
          <w:szCs w:val="22"/>
          <w:lang w:val="sr-Cyrl-BA"/>
        </w:rPr>
        <w:t xml:space="preserve">Нето потрошња ЗЕДП „Електро-Бијељина“ као јавног санбдјевача ће износити 430,42 </w:t>
      </w:r>
      <w:r w:rsidR="007F60BF" w:rsidRPr="007F60BF">
        <w:rPr>
          <w:rFonts w:ascii="Arial" w:hAnsi="Arial" w:cs="Arial"/>
          <w:bCs/>
          <w:sz w:val="22"/>
          <w:szCs w:val="22"/>
          <w:lang w:val="sr-Cyrl-BA"/>
        </w:rPr>
        <w:t>GWh</w:t>
      </w:r>
      <w:r w:rsidR="007F60BF">
        <w:rPr>
          <w:rFonts w:ascii="Arial" w:hAnsi="Arial" w:cs="Arial"/>
          <w:bCs/>
          <w:sz w:val="22"/>
          <w:szCs w:val="22"/>
          <w:lang w:val="sr-Cyrl-BA"/>
        </w:rPr>
        <w:t>.</w:t>
      </w:r>
    </w:p>
    <w:p w:rsidR="00310B99" w:rsidRDefault="00310B99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310B99" w:rsidRPr="00EB0E84" w:rsidRDefault="00310B99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69" w:name="_Toc481062255"/>
      <w:bookmarkStart w:id="70" w:name="_Toc505000328"/>
      <w:bookmarkStart w:id="71" w:name="_Toc505001143"/>
      <w:bookmarkStart w:id="72" w:name="_Toc505146388"/>
      <w:bookmarkStart w:id="73" w:name="_Toc506293266"/>
      <w:bookmarkStart w:id="74" w:name="_Toc506293300"/>
      <w:bookmarkStart w:id="75" w:name="_Toc506293429"/>
      <w:bookmarkStart w:id="76" w:name="_Toc34731948"/>
      <w:r w:rsidRPr="00EB0E84">
        <w:rPr>
          <w:rFonts w:ascii="Arial" w:hAnsi="Arial" w:cs="Arial"/>
          <w:sz w:val="22"/>
          <w:u w:val="single"/>
        </w:rPr>
        <w:t>Производња енергије у МХЕ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310B99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дња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у малим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електранама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планирана у изн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сима на нив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ј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ека за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следње три г</w:t>
      </w:r>
      <w:r w:rsidRPr="005A77A9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дине.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Прецизни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 план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дње малих ХЕ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мета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енљиви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шки усл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ви на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друч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и не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вање дуг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дишњих низ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 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ка 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ишта.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свак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случа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у, утица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МХЕ на биланс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знача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ан, нар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на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ру Р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Власеница.</w:t>
      </w:r>
    </w:p>
    <w:p w:rsidR="007F3C69" w:rsidRDefault="007F3C6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Pr="005A77A9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Pr="005A77A9" w:rsidRDefault="00F139F0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У наредној т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>абели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 xml:space="preserve">приказана </w:t>
      </w:r>
      <w:r w:rsidR="00310B99" w:rsidRPr="005A77A9">
        <w:rPr>
          <w:rFonts w:ascii="Arial" w:hAnsi="Arial" w:cs="Arial"/>
          <w:bCs/>
          <w:sz w:val="22"/>
          <w:szCs w:val="22"/>
        </w:rPr>
        <w:t>j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>е планирана пр</w:t>
      </w:r>
      <w:r w:rsidR="00310B99" w:rsidRPr="005A77A9">
        <w:rPr>
          <w:rFonts w:ascii="Arial" w:hAnsi="Arial" w:cs="Arial"/>
          <w:bCs/>
          <w:sz w:val="22"/>
          <w:szCs w:val="22"/>
        </w:rPr>
        <w:t>o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="00310B99" w:rsidRPr="005A77A9">
        <w:rPr>
          <w:rFonts w:ascii="Arial" w:hAnsi="Arial" w:cs="Arial"/>
          <w:bCs/>
          <w:sz w:val="22"/>
          <w:szCs w:val="22"/>
        </w:rPr>
        <w:t>o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>дња електричне енерги</w:t>
      </w:r>
      <w:r w:rsidR="00310B99" w:rsidRPr="005A77A9">
        <w:rPr>
          <w:rFonts w:ascii="Arial" w:hAnsi="Arial" w:cs="Arial"/>
          <w:bCs/>
          <w:sz w:val="22"/>
          <w:szCs w:val="22"/>
        </w:rPr>
        <w:t>j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>е у малим хидр</w:t>
      </w:r>
      <w:r w:rsidR="00310B99" w:rsidRPr="005A77A9">
        <w:rPr>
          <w:rFonts w:ascii="Arial" w:hAnsi="Arial" w:cs="Arial"/>
          <w:bCs/>
          <w:sz w:val="22"/>
          <w:szCs w:val="22"/>
        </w:rPr>
        <w:t>o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 xml:space="preserve">електранама за </w:t>
      </w:r>
      <w:r w:rsidR="007F3C69">
        <w:rPr>
          <w:rFonts w:ascii="Arial" w:hAnsi="Arial" w:cs="Arial"/>
          <w:bCs/>
          <w:sz w:val="22"/>
          <w:szCs w:val="22"/>
          <w:lang w:val="ru-RU"/>
        </w:rPr>
        <w:t>20</w:t>
      </w:r>
      <w:r w:rsidR="007F60BF">
        <w:rPr>
          <w:rFonts w:ascii="Arial" w:hAnsi="Arial" w:cs="Arial"/>
          <w:bCs/>
          <w:sz w:val="22"/>
          <w:szCs w:val="22"/>
          <w:lang w:val="ru-RU"/>
        </w:rPr>
        <w:t>20</w:t>
      </w:r>
      <w:r w:rsidR="007F3C69">
        <w:rPr>
          <w:rFonts w:ascii="Arial" w:hAnsi="Arial" w:cs="Arial"/>
          <w:bCs/>
          <w:sz w:val="22"/>
          <w:szCs w:val="22"/>
          <w:lang w:val="ru-RU"/>
        </w:rPr>
        <w:t>. годину</w:t>
      </w:r>
      <w:r w:rsidR="00310B99" w:rsidRPr="005A77A9">
        <w:rPr>
          <w:rFonts w:ascii="Arial" w:hAnsi="Arial" w:cs="Arial"/>
          <w:bCs/>
          <w:sz w:val="22"/>
          <w:szCs w:val="22"/>
          <w:lang w:val="ru-RU"/>
        </w:rPr>
        <w:t xml:space="preserve">: </w:t>
      </w:r>
    </w:p>
    <w:p w:rsidR="00310B99" w:rsidRPr="005A77A9" w:rsidRDefault="00310B99" w:rsidP="00310B99">
      <w:p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310B99" w:rsidRPr="005A77A9" w:rsidRDefault="00310B99" w:rsidP="00310B99">
      <w:pPr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310B99" w:rsidRPr="00FA1655" w:rsidRDefault="00310B99" w:rsidP="00310B99">
      <w:pPr>
        <w:pStyle w:val="Caption"/>
        <w:rPr>
          <w:rFonts w:ascii="Arial" w:hAnsi="Arial" w:cs="Arial"/>
          <w:b w:val="0"/>
          <w:szCs w:val="22"/>
          <w:lang w:val="sr-Cyrl-CS"/>
        </w:rPr>
      </w:pPr>
      <w:bookmarkStart w:id="77" w:name="_Toc482180879"/>
      <w:bookmarkStart w:id="78" w:name="_Toc33694927"/>
      <w:r w:rsidRPr="00FA1655">
        <w:rPr>
          <w:rFonts w:ascii="Arial" w:hAnsi="Arial" w:cs="Arial"/>
          <w:b w:val="0"/>
          <w:szCs w:val="22"/>
        </w:rPr>
        <w:t xml:space="preserve">Табела </w:t>
      </w:r>
      <w:r w:rsidRPr="00FA1655">
        <w:rPr>
          <w:rFonts w:ascii="Arial" w:hAnsi="Arial" w:cs="Arial"/>
          <w:b w:val="0"/>
          <w:szCs w:val="22"/>
        </w:rPr>
        <w:fldChar w:fldCharType="begin"/>
      </w:r>
      <w:r w:rsidRPr="00FA1655">
        <w:rPr>
          <w:rFonts w:ascii="Arial" w:hAnsi="Arial" w:cs="Arial"/>
          <w:b w:val="0"/>
          <w:szCs w:val="22"/>
        </w:rPr>
        <w:instrText xml:space="preserve"> SEQ Табела \* ARABIC </w:instrText>
      </w:r>
      <w:r w:rsidRPr="00FA1655">
        <w:rPr>
          <w:rFonts w:ascii="Arial" w:hAnsi="Arial" w:cs="Arial"/>
          <w:b w:val="0"/>
          <w:szCs w:val="22"/>
        </w:rPr>
        <w:fldChar w:fldCharType="separate"/>
      </w:r>
      <w:r w:rsidR="008D5749">
        <w:rPr>
          <w:rFonts w:ascii="Arial" w:hAnsi="Arial" w:cs="Arial"/>
          <w:b w:val="0"/>
          <w:noProof/>
          <w:szCs w:val="22"/>
        </w:rPr>
        <w:t>4</w:t>
      </w:r>
      <w:r w:rsidRPr="00FA1655">
        <w:rPr>
          <w:rFonts w:ascii="Arial" w:hAnsi="Arial" w:cs="Arial"/>
          <w:b w:val="0"/>
          <w:szCs w:val="22"/>
        </w:rPr>
        <w:fldChar w:fldCharType="end"/>
      </w:r>
      <w:r w:rsidRPr="00FA1655">
        <w:rPr>
          <w:rFonts w:ascii="Arial" w:hAnsi="Arial" w:cs="Arial"/>
          <w:b w:val="0"/>
          <w:szCs w:val="22"/>
          <w:lang w:val="sr-Cyrl-BA"/>
        </w:rPr>
        <w:t xml:space="preserve"> </w:t>
      </w:r>
      <w:r w:rsidRPr="00FA1655">
        <w:rPr>
          <w:rFonts w:ascii="Arial" w:hAnsi="Arial" w:cs="Arial"/>
          <w:b w:val="0"/>
          <w:bCs w:val="0"/>
          <w:szCs w:val="22"/>
          <w:lang w:val="ru-RU"/>
        </w:rPr>
        <w:t>Планирана пр</w:t>
      </w:r>
      <w:r w:rsidRPr="00FA1655">
        <w:rPr>
          <w:rFonts w:ascii="Arial" w:hAnsi="Arial" w:cs="Arial"/>
          <w:b w:val="0"/>
          <w:bCs w:val="0"/>
          <w:szCs w:val="22"/>
        </w:rPr>
        <w:t>o</w:t>
      </w:r>
      <w:r w:rsidRPr="00FA1655">
        <w:rPr>
          <w:rFonts w:ascii="Arial" w:hAnsi="Arial" w:cs="Arial"/>
          <w:b w:val="0"/>
          <w:bCs w:val="0"/>
          <w:szCs w:val="22"/>
          <w:lang w:val="ru-RU"/>
        </w:rPr>
        <w:t>изв</w:t>
      </w:r>
      <w:r w:rsidRPr="00FA1655">
        <w:rPr>
          <w:rFonts w:ascii="Arial" w:hAnsi="Arial" w:cs="Arial"/>
          <w:b w:val="0"/>
          <w:bCs w:val="0"/>
          <w:szCs w:val="22"/>
        </w:rPr>
        <w:t>o</w:t>
      </w:r>
      <w:r w:rsidRPr="00FA1655">
        <w:rPr>
          <w:rFonts w:ascii="Arial" w:hAnsi="Arial" w:cs="Arial"/>
          <w:b w:val="0"/>
          <w:bCs w:val="0"/>
          <w:szCs w:val="22"/>
          <w:lang w:val="ru-RU"/>
        </w:rPr>
        <w:t>дња електричне енерги</w:t>
      </w:r>
      <w:r w:rsidRPr="00FA1655">
        <w:rPr>
          <w:rFonts w:ascii="Arial" w:hAnsi="Arial" w:cs="Arial"/>
          <w:b w:val="0"/>
          <w:bCs w:val="0"/>
          <w:szCs w:val="22"/>
        </w:rPr>
        <w:t>j</w:t>
      </w:r>
      <w:r w:rsidRPr="00FA1655">
        <w:rPr>
          <w:rFonts w:ascii="Arial" w:hAnsi="Arial" w:cs="Arial"/>
          <w:b w:val="0"/>
          <w:bCs w:val="0"/>
          <w:szCs w:val="22"/>
          <w:lang w:val="ru-RU"/>
        </w:rPr>
        <w:t>е у хидр</w:t>
      </w:r>
      <w:r w:rsidRPr="00FA1655">
        <w:rPr>
          <w:rFonts w:ascii="Arial" w:hAnsi="Arial" w:cs="Arial"/>
          <w:b w:val="0"/>
          <w:bCs w:val="0"/>
          <w:szCs w:val="22"/>
        </w:rPr>
        <w:t>o</w:t>
      </w:r>
      <w:r w:rsidRPr="00FA1655">
        <w:rPr>
          <w:rFonts w:ascii="Arial" w:hAnsi="Arial" w:cs="Arial"/>
          <w:b w:val="0"/>
          <w:bCs w:val="0"/>
          <w:szCs w:val="22"/>
          <w:lang w:val="ru-RU"/>
        </w:rPr>
        <w:t>електранама</w:t>
      </w:r>
      <w:bookmarkEnd w:id="77"/>
      <w:bookmarkEnd w:id="78"/>
    </w:p>
    <w:p w:rsidR="00310B99" w:rsidRPr="00883A14" w:rsidRDefault="00310B99" w:rsidP="00310B99">
      <w:pPr>
        <w:jc w:val="center"/>
        <w:rPr>
          <w:rFonts w:ascii="Arial" w:hAnsi="Arial" w:cs="Arial"/>
          <w:sz w:val="22"/>
          <w:lang w:val="sr-Cyrl-RS"/>
        </w:rPr>
      </w:pPr>
    </w:p>
    <w:p w:rsidR="00310B99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D25B4D">
        <w:rPr>
          <w:noProof/>
          <w:lang w:val="sr-Latn-BA" w:eastAsia="sr-Latn-BA"/>
        </w:rPr>
        <w:drawing>
          <wp:inline distT="0" distB="0" distL="0" distR="0" wp14:anchorId="56DB5873" wp14:editId="37DD09F2">
            <wp:extent cx="5886450" cy="25241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41" cy="252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25B4D" w:rsidRDefault="00D25B4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D62DB6" w:rsidRDefault="00D62DB6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78358D" w:rsidRDefault="0078358D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</w:p>
    <w:p w:rsidR="0096379A" w:rsidRDefault="0096379A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</w:p>
    <w:p w:rsidR="0096379A" w:rsidRPr="0096379A" w:rsidRDefault="0096379A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</w:p>
    <w:p w:rsidR="005A77A9" w:rsidRPr="00D25B4D" w:rsidRDefault="005A77A9" w:rsidP="00ED3435">
      <w:pPr>
        <w:keepNext/>
        <w:spacing w:line="360" w:lineRule="auto"/>
        <w:outlineLvl w:val="2"/>
        <w:rPr>
          <w:rFonts w:ascii="Arial" w:hAnsi="Arial" w:cs="Arial"/>
          <w:b/>
          <w:sz w:val="22"/>
          <w:szCs w:val="22"/>
          <w:lang w:val="sr-Latn-BA"/>
        </w:rPr>
      </w:pPr>
    </w:p>
    <w:p w:rsidR="005A77A9" w:rsidRPr="00D25B4D" w:rsidRDefault="00310B99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  <w:lang w:val="sr-Latn-CS"/>
        </w:rPr>
      </w:pPr>
      <w:bookmarkStart w:id="79" w:name="_Toc481062256"/>
      <w:bookmarkStart w:id="80" w:name="_Toc505000329"/>
      <w:bookmarkStart w:id="81" w:name="_Toc505001144"/>
      <w:bookmarkStart w:id="82" w:name="_Toc505146389"/>
      <w:bookmarkStart w:id="83" w:name="_Toc506293267"/>
      <w:bookmarkStart w:id="84" w:name="_Toc506293301"/>
      <w:bookmarkStart w:id="85" w:name="_Toc506293430"/>
      <w:bookmarkStart w:id="86" w:name="_Toc34731949"/>
      <w:r w:rsidRPr="00D25B4D">
        <w:rPr>
          <w:rFonts w:ascii="Arial" w:hAnsi="Arial" w:cs="Arial"/>
          <w:sz w:val="22"/>
          <w:u w:val="single"/>
        </w:rPr>
        <w:t>Услови и мјере за реализацију електроенергетског биланса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8D5749" w:rsidRDefault="008D5749" w:rsidP="005A77A9">
      <w:pPr>
        <w:jc w:val="both"/>
        <w:rPr>
          <w:rFonts w:ascii="Arial" w:hAnsi="Arial" w:cs="Arial"/>
          <w:bCs/>
          <w:sz w:val="22"/>
          <w:szCs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2"/>
        </w:rPr>
      </w:pPr>
      <w:bookmarkStart w:id="87" w:name="_GoBack"/>
      <w:bookmarkEnd w:id="87"/>
      <w:r w:rsidRPr="005A77A9">
        <w:rPr>
          <w:rFonts w:ascii="Arial" w:hAnsi="Arial" w:cs="Arial"/>
          <w:bCs/>
          <w:sz w:val="22"/>
          <w:szCs w:val="22"/>
        </w:rPr>
        <w:t xml:space="preserve">У циљу реализациjе </w:t>
      </w:r>
      <w:r w:rsidR="008C1393">
        <w:rPr>
          <w:rFonts w:ascii="Arial" w:hAnsi="Arial" w:cs="Arial"/>
          <w:bCs/>
          <w:sz w:val="22"/>
          <w:szCs w:val="22"/>
          <w:lang w:val="sr-Cyrl-BA"/>
        </w:rPr>
        <w:t>Е</w:t>
      </w:r>
      <w:r w:rsidRPr="005A77A9">
        <w:rPr>
          <w:rFonts w:ascii="Arial" w:hAnsi="Arial" w:cs="Arial"/>
          <w:bCs/>
          <w:sz w:val="22"/>
          <w:szCs w:val="22"/>
        </w:rPr>
        <w:t xml:space="preserve">лектрoенергетскoг биланса 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З</w:t>
      </w:r>
      <w:r w:rsidR="00E73DE8">
        <w:rPr>
          <w:rFonts w:ascii="Arial" w:hAnsi="Arial" w:cs="Arial"/>
          <w:bCs/>
          <w:sz w:val="22"/>
          <w:szCs w:val="22"/>
        </w:rPr>
        <w:t>ЕДП “Електрo-Биjељина”</w:t>
      </w:r>
      <w:r w:rsidR="00E73DE8">
        <w:rPr>
          <w:rFonts w:ascii="Arial" w:hAnsi="Arial" w:cs="Arial"/>
          <w:bCs/>
          <w:sz w:val="22"/>
          <w:szCs w:val="22"/>
          <w:lang w:val="sr-Cyrl-RS"/>
        </w:rPr>
        <w:t xml:space="preserve"> а.д. </w:t>
      </w:r>
      <w:r w:rsidR="008C1393">
        <w:rPr>
          <w:rFonts w:ascii="Arial" w:hAnsi="Arial" w:cs="Arial"/>
          <w:bCs/>
          <w:sz w:val="22"/>
          <w:szCs w:val="22"/>
          <w:lang w:val="sr-Cyrl-RS"/>
        </w:rPr>
        <w:t>Бијељина,</w:t>
      </w:r>
      <w:r w:rsidRPr="005A77A9">
        <w:rPr>
          <w:rFonts w:ascii="Arial" w:hAnsi="Arial" w:cs="Arial"/>
          <w:bCs/>
          <w:sz w:val="22"/>
          <w:szCs w:val="22"/>
        </w:rPr>
        <w:t xml:space="preserve"> ради његoвoг извршења и сигурнoг снабдиjевања пoтрoшача електричнoм енергиjoм, неoпхoднo jе предузети сљедеће мjере:</w:t>
      </w:r>
    </w:p>
    <w:p w:rsidR="005A77A9" w:rsidRPr="005A77A9" w:rsidRDefault="005A77A9" w:rsidP="005A77A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A77A9" w:rsidRPr="00D25B4D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25B4D">
        <w:rPr>
          <w:rFonts w:ascii="Arial" w:hAnsi="Arial" w:cs="Arial"/>
          <w:bCs/>
          <w:sz w:val="22"/>
          <w:szCs w:val="22"/>
          <w:lang w:val="ru-RU"/>
        </w:rPr>
        <w:t>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ред енерги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="0017143B" w:rsidRPr="00D25B4D">
        <w:rPr>
          <w:rFonts w:ascii="Arial" w:hAnsi="Arial" w:cs="Arial"/>
          <w:bCs/>
          <w:sz w:val="22"/>
          <w:szCs w:val="22"/>
          <w:lang w:val="ru-RU"/>
        </w:rPr>
        <w:t>е из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електр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енергетск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г система БиХ</w:t>
      </w:r>
      <w:r w:rsidR="00310B99" w:rsidRPr="00D25B4D">
        <w:rPr>
          <w:rFonts w:ascii="Arial" w:hAnsi="Arial" w:cs="Arial"/>
          <w:bCs/>
          <w:sz w:val="22"/>
          <w:szCs w:val="22"/>
          <w:lang w:val="ru-RU"/>
        </w:rPr>
        <w:t>,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0B99" w:rsidRPr="00D25B4D">
        <w:rPr>
          <w:rFonts w:ascii="Arial" w:hAnsi="Arial" w:cs="Arial"/>
          <w:bCs/>
          <w:sz w:val="22"/>
          <w:szCs w:val="22"/>
          <w:lang w:val="ru-RU"/>
        </w:rPr>
        <w:t>ЗЕДП ''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="00E73DE8" w:rsidRPr="00D25B4D">
        <w:rPr>
          <w:rFonts w:ascii="Arial" w:hAnsi="Arial" w:cs="Arial"/>
          <w:bCs/>
          <w:sz w:val="22"/>
          <w:szCs w:val="22"/>
          <w:lang w:val="ru-RU"/>
        </w:rPr>
        <w:t>-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Би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ељина</w:t>
      </w:r>
      <w:r w:rsidR="00310B99" w:rsidRPr="00D25B4D">
        <w:rPr>
          <w:rFonts w:ascii="Arial" w:hAnsi="Arial" w:cs="Arial"/>
          <w:bCs/>
          <w:sz w:val="22"/>
          <w:szCs w:val="22"/>
          <w:lang w:val="ru-RU"/>
        </w:rPr>
        <w:t>'' а.д. Бијељина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ди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енерги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 узима и из других сус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едних система и властите пр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изв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дње у малим хидр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електранама Власеница и Тишча. Енерги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а из сус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едних система преузима се на 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друч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у</w:t>
      </w:r>
      <w:r w:rsidR="00755DB5" w:rsidRPr="00D25B4D">
        <w:rPr>
          <w:rFonts w:ascii="Arial" w:hAnsi="Arial" w:cs="Arial"/>
          <w:bCs/>
          <w:sz w:val="22"/>
          <w:szCs w:val="22"/>
          <w:lang w:val="ru-RU"/>
        </w:rPr>
        <w:t xml:space="preserve"> Предузећа</w:t>
      </w:r>
      <w:r w:rsidR="002B3440" w:rsidRPr="00D25B4D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прек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35 и 10 </w:t>
      </w:r>
      <w:r w:rsidRPr="00D25B4D">
        <w:rPr>
          <w:rFonts w:ascii="Arial" w:hAnsi="Arial" w:cs="Arial"/>
          <w:bCs/>
          <w:sz w:val="22"/>
          <w:szCs w:val="22"/>
          <w:lang w:val="sr-Latn-CS"/>
        </w:rPr>
        <w:t>kV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в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ва. Пр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изв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дња у малим хидр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електранама  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ред хидр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л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ги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е зависи и 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 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г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нске спремн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сти 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б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еката на шт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утиче благ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времен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5B4D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безб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еђивање финанси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ских средстава за текуће и инвестици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н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државање, резервне ди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ел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ве, те рем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нте п</w:t>
      </w:r>
      <w:r w:rsidRPr="00D25B4D">
        <w:rPr>
          <w:rFonts w:ascii="Arial" w:hAnsi="Arial" w:cs="Arial"/>
          <w:bCs/>
          <w:sz w:val="22"/>
          <w:szCs w:val="22"/>
        </w:rPr>
        <w:t>o</w:t>
      </w:r>
      <w:r w:rsidRPr="00D25B4D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D25B4D">
        <w:rPr>
          <w:rFonts w:ascii="Arial" w:hAnsi="Arial" w:cs="Arial"/>
          <w:bCs/>
          <w:sz w:val="22"/>
          <w:szCs w:val="22"/>
        </w:rPr>
        <w:t>j</w:t>
      </w:r>
      <w:r w:rsidRPr="00D25B4D">
        <w:rPr>
          <w:rFonts w:ascii="Arial" w:hAnsi="Arial" w:cs="Arial"/>
          <w:bCs/>
          <w:sz w:val="22"/>
          <w:szCs w:val="22"/>
          <w:lang w:val="ru-RU"/>
        </w:rPr>
        <w:t xml:space="preserve">ења. 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У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квиру дистрибуци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наставити са санаци</w:t>
      </w:r>
      <w:r w:rsidRPr="005A77A9">
        <w:rPr>
          <w:rFonts w:ascii="Arial" w:hAnsi="Arial" w:cs="Arial"/>
          <w:bCs/>
          <w:sz w:val="22"/>
          <w:szCs w:val="22"/>
        </w:rPr>
        <w:t>jo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дистрибутивне мреже 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ења и улагања првенствен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усм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ерити на смањење техничких губитака,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тклањање уских грла 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љшање нап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нских прилика. Так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текућим и инвестици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државањем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сигурати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нску спремн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 дистрибутивне мреже, а тиме и сигурну исп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руку електричне 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шачима.</w:t>
      </w: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2"/>
          <w:highlight w:val="yellow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Губици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у дистрибутивно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мрежи су знатно смањени, 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смањен уди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нетехничких,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мерци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="00E44A19">
        <w:rPr>
          <w:rFonts w:ascii="Arial" w:hAnsi="Arial" w:cs="Arial"/>
          <w:bCs/>
          <w:sz w:val="22"/>
          <w:szCs w:val="22"/>
          <w:lang w:val="ru-RU"/>
        </w:rPr>
        <w:t xml:space="preserve">алних губитака. У </w:t>
      </w:r>
      <w:r w:rsidR="00883A14">
        <w:rPr>
          <w:rFonts w:ascii="Arial" w:hAnsi="Arial" w:cs="Arial"/>
          <w:bCs/>
          <w:sz w:val="22"/>
          <w:szCs w:val="22"/>
          <w:lang w:val="ru-RU"/>
        </w:rPr>
        <w:t>201</w:t>
      </w:r>
      <w:r w:rsidR="00955224">
        <w:rPr>
          <w:rFonts w:ascii="Arial" w:hAnsi="Arial" w:cs="Arial"/>
          <w:bCs/>
          <w:sz w:val="22"/>
          <w:szCs w:val="22"/>
          <w:lang w:val="ru-RU"/>
        </w:rPr>
        <w:t>9</w:t>
      </w:r>
      <w:r w:rsidRPr="005A77A9">
        <w:rPr>
          <w:rFonts w:ascii="Arial" w:hAnsi="Arial" w:cs="Arial"/>
          <w:bCs/>
          <w:sz w:val="22"/>
          <w:szCs w:val="22"/>
          <w:lang w:val="ru-RU"/>
        </w:rPr>
        <w:t>. 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дини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E44A19">
        <w:rPr>
          <w:rFonts w:ascii="Arial" w:hAnsi="Arial" w:cs="Arial"/>
          <w:bCs/>
          <w:sz w:val="22"/>
          <w:szCs w:val="22"/>
          <w:lang w:val="ru-RU"/>
        </w:rPr>
        <w:t xml:space="preserve">је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 даље улагати напоре на смањењу губитака и насто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ати свести исте на реалне техничке губитке.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треба спр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вести путем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вара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ућих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ера из 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 Акци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 плана, и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: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есечн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очитавање бро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ила ради перманентн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г праћења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стварења губитака и чешћи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билазак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ерних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еста уз њих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ву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лу; израде прецизних план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читавања и 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сљедн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 у њих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ђењу; израде план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 за баждарење бр</w:t>
      </w:r>
      <w:r w:rsidRPr="005A77A9">
        <w:rPr>
          <w:rFonts w:ascii="Arial" w:hAnsi="Arial" w:cs="Arial"/>
          <w:bCs/>
          <w:sz w:val="22"/>
          <w:szCs w:val="22"/>
        </w:rPr>
        <w:t>oj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ила; анализа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читавања 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тклањање нел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сти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читавања при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исп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стављања рачуна (не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читани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 са нел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мал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шњ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и сличн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); усп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става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тпун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 рада интерних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ла;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ткривање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влаштене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шње итд. Так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ђе, на спречавању нетехничких губитака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и даљем 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њењу кривичних д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ву,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ред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рних структура у ЕДП,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ангаж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вати  МУП и прав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судне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ргане РС.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highlight w:val="yellow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ЗЕДП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“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-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ељина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” </w:t>
      </w:r>
      <w:r w:rsidR="00C46752">
        <w:rPr>
          <w:rFonts w:ascii="Arial" w:hAnsi="Arial" w:cs="Arial"/>
          <w:bCs/>
          <w:sz w:val="22"/>
          <w:szCs w:val="22"/>
          <w:lang w:val="ru-RU"/>
        </w:rPr>
        <w:t>а.д.</w:t>
      </w:r>
      <w:r w:rsidR="00C46752">
        <w:rPr>
          <w:rFonts w:ascii="Arial" w:hAnsi="Arial" w:cs="Arial"/>
          <w:bCs/>
          <w:sz w:val="22"/>
          <w:szCs w:val="22"/>
          <w:lang w:val="sr-Cyrl-CS"/>
        </w:rPr>
        <w:t xml:space="preserve"> Бијељина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следњих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казу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зитивне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тренд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вању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. Реалн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да се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стигне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ш раци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нални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вање. На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начин ствара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у се усл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ви за квалитетн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државање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ења, шт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би требал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да резултира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већањем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нске спремн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сти</w:t>
      </w:r>
      <w:r w:rsidR="00CA6F5B">
        <w:rPr>
          <w:rFonts w:ascii="Arial" w:hAnsi="Arial" w:cs="Arial"/>
          <w:bCs/>
          <w:sz w:val="22"/>
          <w:szCs w:val="22"/>
          <w:lang w:val="sr-Cyrl-CS"/>
        </w:rPr>
        <w:t>,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а самим тим и већ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реализаци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е.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сим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га,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ц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ењу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се да раци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налн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м 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управљањем слободних новчаних токова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м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гу да се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безби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еде средства за инвестирање и у знача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не 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ве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енергетске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б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екте на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ру ЗЕДП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-Би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="00C46752">
        <w:rPr>
          <w:rFonts w:ascii="Arial" w:hAnsi="Arial" w:cs="Arial"/>
          <w:bCs/>
          <w:sz w:val="22"/>
          <w:szCs w:val="22"/>
          <w:lang w:val="sr-Cyrl-CS"/>
        </w:rPr>
        <w:t>ељина” а.д. Бијељина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,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а све са циљем ефикасни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ег рада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енергетск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 система и квалитетни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ег напа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ања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шача електричн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м.</w:t>
      </w:r>
    </w:p>
    <w:p w:rsidR="005A77A9" w:rsidRPr="005A77A9" w:rsidRDefault="005A77A9" w:rsidP="005A77A9">
      <w:pPr>
        <w:ind w:left="720"/>
        <w:rPr>
          <w:rFonts w:ascii="Arial" w:hAnsi="Arial" w:cs="Arial"/>
          <w:bCs/>
          <w:sz w:val="22"/>
          <w:szCs w:val="22"/>
          <w:lang w:val="sr-Cyrl-CS"/>
        </w:rPr>
      </w:pPr>
      <w:r w:rsidRPr="005A77A9">
        <w:rPr>
          <w:rFonts w:ascii="Arial" w:hAnsi="Arial" w:cs="Arial"/>
          <w:bCs/>
          <w:sz w:val="22"/>
          <w:szCs w:val="22"/>
          <w:u w:val="single"/>
          <w:lang w:val="sr-Cyrl-CS"/>
        </w:rP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2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208"/>
      </w:tblGrid>
      <w:tr w:rsidR="005A77A9" w:rsidRPr="005A77A9" w:rsidTr="00E57F76">
        <w:trPr>
          <w:trHeight w:val="471"/>
        </w:trPr>
        <w:tc>
          <w:tcPr>
            <w:tcW w:w="820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  <w:tr w:rsidR="005A77A9" w:rsidRPr="005A77A9" w:rsidTr="00E57F76">
        <w:trPr>
          <w:trHeight w:val="1624"/>
        </w:trPr>
        <w:tc>
          <w:tcPr>
            <w:tcW w:w="8208" w:type="dxa"/>
          </w:tcPr>
          <w:p w:rsidR="005A77A9" w:rsidRPr="005A77A9" w:rsidRDefault="005A77A9" w:rsidP="005A77A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val="sr-Latn-RS" w:eastAsia="ja-JP"/>
              </w:rPr>
            </w:pPr>
            <w:r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ЕКОНОМСКО-ФИНАНСИЈСКЕ ПРОЈЕКЦИЈЕ ПЛАНА ПОСЛОВАЊА </w:t>
            </w:r>
          </w:p>
          <w:p w:rsidR="005A77A9" w:rsidRPr="005A77A9" w:rsidRDefault="00B10AE9" w:rsidP="00ED3435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eastAsia="ja-JP"/>
              </w:rPr>
            </w:pPr>
            <w:r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за 20</w:t>
            </w:r>
            <w:r>
              <w:rPr>
                <w:rFonts w:ascii="Cambria" w:hAnsi="Cambria"/>
                <w:color w:val="365F91"/>
                <w:sz w:val="40"/>
                <w:szCs w:val="80"/>
                <w:lang w:val="sr-Latn-BA" w:eastAsia="ja-JP"/>
              </w:rPr>
              <w:t>20</w:t>
            </w:r>
            <w:r w:rsidR="005A77A9"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. годину</w:t>
            </w: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E57F76" w:rsidRDefault="00E57F76" w:rsidP="00E57F76">
      <w:pPr>
        <w:spacing w:after="200" w:line="276" w:lineRule="auto"/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i/>
          <w:iCs/>
          <w:szCs w:val="28"/>
          <w:lang w:val="sr-Cyrl-CS"/>
        </w:rPr>
        <w:br w:type="page"/>
      </w:r>
    </w:p>
    <w:p w:rsidR="005A77A9" w:rsidRPr="00BE72F3" w:rsidRDefault="0077299D" w:rsidP="00BE72F3">
      <w:pPr>
        <w:pStyle w:val="Heading1"/>
        <w:rPr>
          <w:rFonts w:ascii="Arial" w:hAnsi="Arial" w:cs="Arial"/>
          <w:sz w:val="24"/>
        </w:rPr>
      </w:pPr>
      <w:bookmarkStart w:id="88" w:name="_Toc481062257"/>
      <w:bookmarkStart w:id="89" w:name="_Toc505000330"/>
      <w:bookmarkStart w:id="90" w:name="_Toc505001145"/>
      <w:bookmarkStart w:id="91" w:name="_Toc505146390"/>
      <w:bookmarkStart w:id="92" w:name="_Toc506293268"/>
      <w:bookmarkStart w:id="93" w:name="_Toc506293302"/>
      <w:bookmarkStart w:id="94" w:name="_Toc506293431"/>
      <w:bookmarkStart w:id="95" w:name="_Toc34731950"/>
      <w:r>
        <w:rPr>
          <w:rFonts w:ascii="Arial" w:hAnsi="Arial" w:cs="Arial"/>
          <w:sz w:val="24"/>
          <w:lang w:val="sr-Cyrl-BA"/>
        </w:rPr>
        <w:lastRenderedPageBreak/>
        <w:t xml:space="preserve">ПЛАНСКИ </w:t>
      </w:r>
      <w:r w:rsidR="003155F7">
        <w:rPr>
          <w:rFonts w:ascii="Arial" w:hAnsi="Arial" w:cs="Arial"/>
          <w:sz w:val="24"/>
        </w:rPr>
        <w:t>БИЛАНС</w:t>
      </w:r>
      <w:r w:rsidR="005A77A9" w:rsidRPr="00BE72F3">
        <w:rPr>
          <w:rFonts w:ascii="Arial" w:hAnsi="Arial" w:cs="Arial"/>
          <w:sz w:val="24"/>
        </w:rPr>
        <w:t xml:space="preserve"> УСПЈЕХА ПРЕДУЗЕЋА за 20</w:t>
      </w:r>
      <w:r w:rsidR="00B10AE9">
        <w:rPr>
          <w:rFonts w:ascii="Arial" w:hAnsi="Arial" w:cs="Arial"/>
          <w:sz w:val="24"/>
          <w:lang w:val="sr-Latn-BA"/>
        </w:rPr>
        <w:t>20</w:t>
      </w:r>
      <w:r w:rsidR="005A77A9" w:rsidRPr="00BE72F3">
        <w:rPr>
          <w:rFonts w:ascii="Arial" w:hAnsi="Arial" w:cs="Arial"/>
          <w:sz w:val="24"/>
        </w:rPr>
        <w:t>. годину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5A77A9" w:rsidRPr="005A77A9" w:rsidRDefault="00FB3A48" w:rsidP="005A77A9">
      <w:pPr>
        <w:rPr>
          <w:rFonts w:ascii="Arial" w:hAnsi="Arial" w:cs="Arial"/>
          <w:b/>
          <w:i/>
          <w:iCs/>
          <w:szCs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7" style="width:0;height:1.5pt" o:hralign="center" o:hrstd="t" o:hr="t" fillcolor="gray" stroked="f"/>
        </w:pict>
      </w:r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9C50E0" w:rsidRPr="009C50E0" w:rsidRDefault="009C50E0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96" w:name="_Toc481062258"/>
      <w:bookmarkStart w:id="97" w:name="_Toc505000331"/>
      <w:bookmarkStart w:id="98" w:name="_Toc505001146"/>
      <w:bookmarkStart w:id="99" w:name="_Toc505146391"/>
      <w:bookmarkStart w:id="100" w:name="_Toc506293269"/>
      <w:bookmarkStart w:id="101" w:name="_Toc506293303"/>
      <w:bookmarkStart w:id="102" w:name="_Toc506293432"/>
      <w:bookmarkStart w:id="103" w:name="_Toc34731951"/>
      <w:r w:rsidRPr="009C50E0">
        <w:rPr>
          <w:rFonts w:ascii="Arial" w:hAnsi="Arial" w:cs="Arial"/>
          <w:sz w:val="22"/>
          <w:szCs w:val="22"/>
          <w:u w:val="single"/>
        </w:rPr>
        <w:t>Планирани резултат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9C50E0" w:rsidRDefault="009C50E0" w:rsidP="005A77A9">
      <w:pPr>
        <w:jc w:val="both"/>
        <w:rPr>
          <w:rFonts w:ascii="Arial" w:hAnsi="Arial" w:cs="Arial"/>
          <w:bCs/>
          <w:sz w:val="22"/>
          <w:szCs w:val="28"/>
        </w:rPr>
      </w:pPr>
    </w:p>
    <w:p w:rsidR="005A77A9" w:rsidRPr="00033332" w:rsidRDefault="005A77A9" w:rsidP="005A77A9">
      <w:pPr>
        <w:jc w:val="both"/>
        <w:rPr>
          <w:rFonts w:ascii="Arial" w:hAnsi="Arial" w:cs="Arial"/>
          <w:bCs/>
          <w:sz w:val="22"/>
          <w:szCs w:val="28"/>
          <w:lang w:val="sr-Cyrl-BA"/>
        </w:rPr>
      </w:pPr>
      <w:r w:rsidRPr="005A77A9">
        <w:rPr>
          <w:rFonts w:ascii="Arial" w:hAnsi="Arial" w:cs="Arial"/>
          <w:bCs/>
          <w:sz w:val="22"/>
          <w:szCs w:val="28"/>
        </w:rPr>
        <w:t>На основу усвојеног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 xml:space="preserve"> </w:t>
      </w:r>
      <w:r w:rsidRPr="005A77A9">
        <w:rPr>
          <w:rFonts w:ascii="Arial" w:hAnsi="Arial" w:cs="Arial"/>
          <w:bCs/>
          <w:sz w:val="22"/>
          <w:szCs w:val="28"/>
        </w:rPr>
        <w:t>Електроенергетског биланса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 Републике Српске</w:t>
      </w:r>
      <w:r w:rsidRPr="005A77A9">
        <w:rPr>
          <w:rFonts w:ascii="Arial" w:hAnsi="Arial" w:cs="Arial"/>
          <w:bCs/>
          <w:sz w:val="22"/>
          <w:szCs w:val="28"/>
        </w:rPr>
        <w:t>, цијена електричне енергије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 утврђених од стране Регулаторне комисије за енергетику Републике Српске</w:t>
      </w:r>
      <w:r w:rsidR="007D1DDD">
        <w:rPr>
          <w:rFonts w:ascii="Arial" w:hAnsi="Arial" w:cs="Arial"/>
          <w:bCs/>
          <w:sz w:val="22"/>
          <w:szCs w:val="28"/>
          <w:lang w:val="sr-Cyrl-BA"/>
        </w:rPr>
        <w:t>, Плана инвестиција, Плана набавки</w:t>
      </w:r>
      <w:r w:rsidRPr="005A77A9">
        <w:rPr>
          <w:rFonts w:ascii="Arial" w:hAnsi="Arial" w:cs="Arial"/>
          <w:bCs/>
          <w:sz w:val="22"/>
          <w:szCs w:val="28"/>
        </w:rPr>
        <w:t xml:space="preserve"> и процјен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>е</w:t>
      </w:r>
      <w:r w:rsidRPr="005A77A9">
        <w:rPr>
          <w:rFonts w:ascii="Arial" w:hAnsi="Arial" w:cs="Arial"/>
          <w:bCs/>
          <w:sz w:val="22"/>
          <w:szCs w:val="28"/>
        </w:rPr>
        <w:t xml:space="preserve"> остварења осталих величина, сачињен је 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>П</w:t>
      </w:r>
      <w:r w:rsidR="00033332">
        <w:rPr>
          <w:rFonts w:ascii="Arial" w:hAnsi="Arial" w:cs="Arial"/>
          <w:bCs/>
          <w:sz w:val="22"/>
          <w:szCs w:val="28"/>
        </w:rPr>
        <w:t xml:space="preserve">лан прихода и расхода ЗЕДП 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''Електро-Бијељина'' а.д. Бијељина. </w:t>
      </w: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8"/>
          <w:lang w:val="sr-Cyrl-RS"/>
        </w:rPr>
      </w:pPr>
    </w:p>
    <w:p w:rsidR="00033332" w:rsidRDefault="00033332" w:rsidP="005A77A9">
      <w:pPr>
        <w:jc w:val="both"/>
        <w:rPr>
          <w:rFonts w:ascii="Arial" w:hAnsi="Arial" w:cs="Arial"/>
          <w:bCs/>
          <w:sz w:val="22"/>
          <w:szCs w:val="28"/>
          <w:lang w:val="sr-Cyrl-RS"/>
        </w:rPr>
      </w:pPr>
    </w:p>
    <w:p w:rsidR="00033332" w:rsidRDefault="00033332" w:rsidP="00033332">
      <w:pPr>
        <w:pStyle w:val="Caption"/>
        <w:rPr>
          <w:rFonts w:ascii="Arial" w:hAnsi="Arial" w:cs="Arial"/>
          <w:b w:val="0"/>
          <w:bCs w:val="0"/>
          <w:szCs w:val="22"/>
          <w:lang w:val="sr-Cyrl-RS"/>
        </w:rPr>
      </w:pPr>
      <w:bookmarkStart w:id="104" w:name="_Toc482180880"/>
      <w:bookmarkStart w:id="105" w:name="_Toc33694928"/>
      <w:proofErr w:type="gramStart"/>
      <w:r w:rsidRPr="00C969CC">
        <w:rPr>
          <w:rFonts w:ascii="Arial" w:hAnsi="Arial" w:cs="Arial"/>
          <w:b w:val="0"/>
          <w:szCs w:val="22"/>
        </w:rPr>
        <w:t xml:space="preserve">Табела </w:t>
      </w:r>
      <w:proofErr w:type="gramEnd"/>
      <w:r w:rsidRPr="00C969CC">
        <w:rPr>
          <w:rFonts w:ascii="Arial" w:hAnsi="Arial" w:cs="Arial"/>
          <w:b w:val="0"/>
          <w:szCs w:val="22"/>
        </w:rPr>
        <w:fldChar w:fldCharType="begin"/>
      </w:r>
      <w:r w:rsidRPr="00C969CC">
        <w:rPr>
          <w:rFonts w:ascii="Arial" w:hAnsi="Arial" w:cs="Arial"/>
          <w:b w:val="0"/>
          <w:szCs w:val="22"/>
        </w:rPr>
        <w:instrText xml:space="preserve"> SEQ Табела \* ARABIC </w:instrText>
      </w:r>
      <w:r w:rsidRPr="00C969CC">
        <w:rPr>
          <w:rFonts w:ascii="Arial" w:hAnsi="Arial" w:cs="Arial"/>
          <w:b w:val="0"/>
          <w:szCs w:val="22"/>
        </w:rPr>
        <w:fldChar w:fldCharType="separate"/>
      </w:r>
      <w:r w:rsidR="008D5749">
        <w:rPr>
          <w:rFonts w:ascii="Arial" w:hAnsi="Arial" w:cs="Arial"/>
          <w:b w:val="0"/>
          <w:noProof/>
          <w:szCs w:val="22"/>
        </w:rPr>
        <w:t>5</w:t>
      </w:r>
      <w:r w:rsidRPr="00C969CC">
        <w:rPr>
          <w:rFonts w:ascii="Arial" w:hAnsi="Arial" w:cs="Arial"/>
          <w:b w:val="0"/>
          <w:szCs w:val="22"/>
        </w:rPr>
        <w:fldChar w:fldCharType="end"/>
      </w:r>
      <w:proofErr w:type="gramStart"/>
      <w:r w:rsidRPr="00C969CC">
        <w:rPr>
          <w:rFonts w:ascii="Arial" w:hAnsi="Arial" w:cs="Arial"/>
          <w:b w:val="0"/>
          <w:szCs w:val="22"/>
          <w:lang w:val="sr-Cyrl-BA"/>
        </w:rPr>
        <w:t xml:space="preserve">  </w:t>
      </w:r>
      <w:r w:rsidR="00B10AE9">
        <w:rPr>
          <w:rFonts w:ascii="Arial" w:hAnsi="Arial" w:cs="Arial"/>
          <w:b w:val="0"/>
          <w:bCs w:val="0"/>
          <w:szCs w:val="22"/>
          <w:lang w:val="sr-Cyrl-RS"/>
        </w:rPr>
        <w:t>Планирани резултат за 20</w:t>
      </w:r>
      <w:r w:rsidR="00B10AE9">
        <w:rPr>
          <w:rFonts w:ascii="Arial" w:hAnsi="Arial" w:cs="Arial"/>
          <w:b w:val="0"/>
          <w:bCs w:val="0"/>
          <w:szCs w:val="22"/>
          <w:lang w:val="sr-Latn-BA"/>
        </w:rPr>
        <w:t>20</w:t>
      </w:r>
      <w:r w:rsidRPr="00C969CC">
        <w:rPr>
          <w:rFonts w:ascii="Arial" w:hAnsi="Arial" w:cs="Arial"/>
          <w:b w:val="0"/>
          <w:bCs w:val="0"/>
          <w:szCs w:val="22"/>
          <w:lang w:val="sr-Cyrl-RS"/>
        </w:rPr>
        <w:t>.</w:t>
      </w:r>
      <w:proofErr w:type="gramEnd"/>
      <w:r w:rsidRPr="00C969CC">
        <w:rPr>
          <w:rFonts w:ascii="Arial" w:hAnsi="Arial" w:cs="Arial"/>
          <w:b w:val="0"/>
          <w:bCs w:val="0"/>
          <w:szCs w:val="22"/>
          <w:lang w:val="sr-Cyrl-RS"/>
        </w:rPr>
        <w:t xml:space="preserve"> </w:t>
      </w:r>
      <w:r w:rsidR="003D64A8">
        <w:rPr>
          <w:rFonts w:ascii="Arial" w:hAnsi="Arial" w:cs="Arial"/>
          <w:b w:val="0"/>
          <w:bCs w:val="0"/>
          <w:szCs w:val="22"/>
          <w:lang w:val="sr-Cyrl-RS"/>
        </w:rPr>
        <w:t>г</w:t>
      </w:r>
      <w:r w:rsidRPr="00C969CC">
        <w:rPr>
          <w:rFonts w:ascii="Arial" w:hAnsi="Arial" w:cs="Arial"/>
          <w:b w:val="0"/>
          <w:bCs w:val="0"/>
          <w:szCs w:val="22"/>
          <w:lang w:val="sr-Cyrl-RS"/>
        </w:rPr>
        <w:t>одину</w:t>
      </w:r>
      <w:bookmarkEnd w:id="104"/>
      <w:bookmarkEnd w:id="105"/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5220"/>
        <w:gridCol w:w="1496"/>
        <w:gridCol w:w="1496"/>
        <w:gridCol w:w="895"/>
      </w:tblGrid>
      <w:tr w:rsidR="00ED3435" w:rsidRPr="00ED3435" w:rsidTr="008E704E">
        <w:trPr>
          <w:trHeight w:val="85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435" w:rsidRPr="00ED3435" w:rsidRDefault="00ED3435" w:rsidP="00ED34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435" w:rsidRPr="00ED3435" w:rsidRDefault="00B10AE9" w:rsidP="00ED34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 2019</w:t>
            </w:r>
            <w:r w:rsidR="00ED3435"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435" w:rsidRPr="00ED3435" w:rsidRDefault="00B10AE9" w:rsidP="00ED34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ПЛАН 2020</w:t>
            </w:r>
            <w:r w:rsidR="00ED3435" w:rsidRPr="00FC36A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435" w:rsidRPr="00ED3435" w:rsidRDefault="00ED3435" w:rsidP="003E5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Индекс </w:t>
            </w:r>
            <w:r w:rsidR="003E54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3/2</w:t>
            </w:r>
          </w:p>
        </w:tc>
      </w:tr>
      <w:tr w:rsidR="00ED3435" w:rsidRPr="00ED3435" w:rsidTr="008E704E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435" w:rsidRPr="00ED3435" w:rsidRDefault="00ED3435" w:rsidP="00ED3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34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435" w:rsidRPr="00ED3435" w:rsidRDefault="00ED3435" w:rsidP="00ED3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34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435" w:rsidRPr="00ED3435" w:rsidRDefault="00ED3435" w:rsidP="00ED3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34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435" w:rsidRPr="00ED3435" w:rsidRDefault="00ED3435" w:rsidP="00ED3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343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ПРИХОД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97.716.634,00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82.453.994,00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1. Пословни приход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91.314.530,00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78.757.994,00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2. Остали приход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3.698.299,00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приход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2.703.805,00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4. Приход од усклађивања вриједности имовине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#DIV/0!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РАСХОД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97.620.926,00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84.957.490,00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1. Пословни расход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96.448.089,00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82.977.490,00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2. Остали расход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770.136,00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расход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402.701,00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4. Расход од усклађивања вриједности имовине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#DIV/0!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ДОБИТ/ГУБИТАК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95.708,00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F1AC6" w:rsidRDefault="003F1A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-2.503.496,00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1AC6" w:rsidRDefault="003F1A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Резултат из пословне активности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-5.133.559,00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-4.219.496,00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Резултат из редовне активности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2.301.104,00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201.000,00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осталих прихода и расхода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2.928.163,00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1.515.000,00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AC6" w:rsidRPr="00ED3435" w:rsidTr="004508BB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35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усклађивања вриједности имовине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AC6" w:rsidRPr="00ED3435" w:rsidRDefault="003F1AC6" w:rsidP="00ED34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AC6" w:rsidRPr="00ED3435" w:rsidRDefault="003F1AC6" w:rsidP="00ED34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D3435" w:rsidRPr="00ED3435" w:rsidRDefault="00ED3435" w:rsidP="00ED3435">
      <w:pPr>
        <w:rPr>
          <w:lang w:val="sr-Cyrl-RS"/>
        </w:rPr>
      </w:pPr>
    </w:p>
    <w:p w:rsidR="003E5828" w:rsidRDefault="003E5828" w:rsidP="003E5828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</w:t>
      </w:r>
      <w:r w:rsidR="005A77A9" w:rsidRPr="007D1DDD">
        <w:rPr>
          <w:rFonts w:ascii="Arial" w:hAnsi="Arial" w:cs="Arial"/>
          <w:sz w:val="22"/>
          <w:lang w:val="sr-Cyrl-CS"/>
        </w:rPr>
        <w:t>ланиран</w:t>
      </w:r>
      <w:r w:rsidR="007D1DDD" w:rsidRPr="007D1DDD">
        <w:rPr>
          <w:rFonts w:ascii="Arial" w:hAnsi="Arial" w:cs="Arial"/>
          <w:sz w:val="22"/>
          <w:lang w:val="sr-Cyrl-CS"/>
        </w:rPr>
        <w:t>и</w:t>
      </w:r>
      <w:r>
        <w:rPr>
          <w:rFonts w:ascii="Arial" w:hAnsi="Arial" w:cs="Arial"/>
          <w:sz w:val="22"/>
          <w:lang w:val="sr-Cyrl-CS"/>
        </w:rPr>
        <w:t xml:space="preserve"> укупни</w:t>
      </w:r>
      <w:r w:rsidR="007D1DDD" w:rsidRPr="007D1DDD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 xml:space="preserve">приходи за </w:t>
      </w:r>
      <w:r w:rsidR="005A77A9" w:rsidRPr="007D1DDD">
        <w:rPr>
          <w:rFonts w:ascii="Arial" w:hAnsi="Arial" w:cs="Arial"/>
          <w:sz w:val="22"/>
          <w:lang w:val="sr-Cyrl-CS"/>
        </w:rPr>
        <w:t>20</w:t>
      </w:r>
      <w:r w:rsidR="004508BB">
        <w:rPr>
          <w:rFonts w:ascii="Arial" w:hAnsi="Arial" w:cs="Arial"/>
          <w:sz w:val="22"/>
        </w:rPr>
        <w:t>20</w:t>
      </w:r>
      <w:r w:rsidR="005A77A9" w:rsidRPr="007D1DDD">
        <w:rPr>
          <w:rFonts w:ascii="Arial" w:hAnsi="Arial" w:cs="Arial"/>
          <w:sz w:val="22"/>
          <w:lang w:val="sr-Cyrl-CS"/>
        </w:rPr>
        <w:t>. годин</w:t>
      </w:r>
      <w:r>
        <w:rPr>
          <w:rFonts w:ascii="Arial" w:hAnsi="Arial" w:cs="Arial"/>
          <w:sz w:val="22"/>
          <w:lang w:val="sr-Cyrl-CS"/>
        </w:rPr>
        <w:t>у</w:t>
      </w:r>
      <w:r w:rsidR="005A77A9" w:rsidRPr="007D1DDD">
        <w:rPr>
          <w:rFonts w:ascii="Arial" w:hAnsi="Arial" w:cs="Arial"/>
          <w:sz w:val="22"/>
          <w:lang w:val="sr-Cyrl-CS"/>
        </w:rPr>
        <w:t xml:space="preserve"> износ</w:t>
      </w:r>
      <w:r w:rsidR="007D1DDD">
        <w:rPr>
          <w:rFonts w:ascii="Arial" w:hAnsi="Arial" w:cs="Arial"/>
          <w:sz w:val="22"/>
          <w:lang w:val="sr-Cyrl-CS"/>
        </w:rPr>
        <w:t>е</w:t>
      </w:r>
      <w:r w:rsidR="005A77A9" w:rsidRPr="007D1DDD">
        <w:rPr>
          <w:rFonts w:ascii="Arial" w:hAnsi="Arial" w:cs="Arial"/>
          <w:sz w:val="22"/>
          <w:lang w:val="sr-Cyrl-CS"/>
        </w:rPr>
        <w:t xml:space="preserve"> </w:t>
      </w:r>
      <w:r w:rsidR="00AD15A7">
        <w:rPr>
          <w:rFonts w:ascii="Arial" w:hAnsi="Arial" w:cs="Arial"/>
          <w:sz w:val="22"/>
          <w:lang w:val="sr-Latn-BA"/>
        </w:rPr>
        <w:t>82</w:t>
      </w:r>
      <w:r w:rsidR="00AD15A7">
        <w:rPr>
          <w:rFonts w:ascii="Arial" w:hAnsi="Arial" w:cs="Arial"/>
          <w:sz w:val="22"/>
          <w:lang w:val="sr-Cyrl-CS"/>
        </w:rPr>
        <w:t>,</w:t>
      </w:r>
      <w:r w:rsidR="00AD15A7">
        <w:rPr>
          <w:rFonts w:ascii="Arial" w:hAnsi="Arial" w:cs="Arial"/>
          <w:sz w:val="22"/>
          <w:lang w:val="sr-Latn-BA"/>
        </w:rPr>
        <w:t>453</w:t>
      </w:r>
      <w:r w:rsidR="00151F27" w:rsidRPr="007D1DDD">
        <w:rPr>
          <w:rFonts w:ascii="Arial" w:hAnsi="Arial" w:cs="Arial"/>
          <w:sz w:val="22"/>
          <w:lang w:val="sr-Cyrl-CS"/>
        </w:rPr>
        <w:t xml:space="preserve"> </w:t>
      </w:r>
      <w:r w:rsidR="005A77A9" w:rsidRPr="007D1DDD">
        <w:rPr>
          <w:rFonts w:ascii="Arial" w:hAnsi="Arial" w:cs="Arial"/>
          <w:sz w:val="22"/>
          <w:lang w:val="sr-Cyrl-CS"/>
        </w:rPr>
        <w:t>мил. КМ</w:t>
      </w:r>
      <w:r w:rsidR="007D1DDD">
        <w:rPr>
          <w:rFonts w:ascii="Arial" w:hAnsi="Arial" w:cs="Arial"/>
          <w:sz w:val="22"/>
          <w:lang w:val="sr-Cyrl-CS"/>
        </w:rPr>
        <w:t xml:space="preserve"> и за</w:t>
      </w:r>
      <w:r w:rsidR="009D5AB7">
        <w:rPr>
          <w:rFonts w:ascii="Arial" w:hAnsi="Arial" w:cs="Arial"/>
          <w:sz w:val="22"/>
          <w:lang w:val="sr-Cyrl-CS"/>
        </w:rPr>
        <w:t xml:space="preserve"> </w:t>
      </w:r>
      <w:r w:rsidR="009D5AB7">
        <w:rPr>
          <w:rFonts w:ascii="Arial" w:hAnsi="Arial" w:cs="Arial"/>
          <w:sz w:val="22"/>
          <w:lang w:val="sr-Latn-BA"/>
        </w:rPr>
        <w:t>16</w:t>
      </w:r>
      <w:r w:rsidR="009D5AB7">
        <w:rPr>
          <w:rFonts w:ascii="Arial" w:hAnsi="Arial" w:cs="Arial"/>
          <w:sz w:val="22"/>
          <w:lang w:val="sr-Cyrl-CS"/>
        </w:rPr>
        <w:t xml:space="preserve">% су </w:t>
      </w:r>
      <w:r w:rsidR="009D5AB7">
        <w:rPr>
          <w:rFonts w:ascii="Arial" w:hAnsi="Arial" w:cs="Arial"/>
          <w:sz w:val="22"/>
          <w:lang w:val="sr-Cyrl-BA"/>
        </w:rPr>
        <w:t>мањи</w:t>
      </w:r>
      <w:r w:rsidR="00ED3435">
        <w:rPr>
          <w:rFonts w:ascii="Arial" w:hAnsi="Arial" w:cs="Arial"/>
          <w:sz w:val="22"/>
          <w:lang w:val="sr-Cyrl-CS"/>
        </w:rPr>
        <w:t xml:space="preserve"> у односу </w:t>
      </w:r>
      <w:r w:rsidR="00AD15A7">
        <w:rPr>
          <w:rFonts w:ascii="Arial" w:hAnsi="Arial" w:cs="Arial"/>
          <w:sz w:val="22"/>
          <w:lang w:val="sr-Cyrl-CS"/>
        </w:rPr>
        <w:t>на ребаланс плана пословања 201</w:t>
      </w:r>
      <w:r w:rsidR="00AD15A7">
        <w:rPr>
          <w:rFonts w:ascii="Arial" w:hAnsi="Arial" w:cs="Arial"/>
          <w:sz w:val="22"/>
          <w:lang w:val="sr-Latn-BA"/>
        </w:rPr>
        <w:t>9</w:t>
      </w:r>
      <w:r w:rsidR="00ED3435">
        <w:rPr>
          <w:rFonts w:ascii="Arial" w:hAnsi="Arial" w:cs="Arial"/>
          <w:sz w:val="22"/>
          <w:lang w:val="sr-Cyrl-CS"/>
        </w:rPr>
        <w:t>. године</w:t>
      </w:r>
      <w:r>
        <w:rPr>
          <w:rFonts w:ascii="Arial" w:hAnsi="Arial" w:cs="Arial"/>
          <w:sz w:val="22"/>
          <w:lang w:val="sr-Cyrl-CS"/>
        </w:rPr>
        <w:t>.</w:t>
      </w:r>
    </w:p>
    <w:p w:rsidR="003E5828" w:rsidRDefault="003E5828" w:rsidP="003E5828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7D1DDD" w:rsidRDefault="00D22B30" w:rsidP="003E5828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Планирани укупни расходи за 2020. годину износе 84</w:t>
      </w:r>
      <w:r w:rsidR="00056BCF">
        <w:rPr>
          <w:rFonts w:ascii="Arial" w:hAnsi="Arial" w:cs="Arial"/>
          <w:sz w:val="22"/>
          <w:lang w:val="sr-Cyrl-CS"/>
        </w:rPr>
        <w:t>,</w:t>
      </w:r>
      <w:r>
        <w:rPr>
          <w:rFonts w:ascii="Arial" w:hAnsi="Arial" w:cs="Arial"/>
          <w:sz w:val="22"/>
          <w:lang w:val="sr-Cyrl-CS"/>
        </w:rPr>
        <w:t>957 мил. КМ и за 13</w:t>
      </w:r>
      <w:r w:rsidR="00056BCF">
        <w:rPr>
          <w:rFonts w:ascii="Arial" w:hAnsi="Arial" w:cs="Arial"/>
          <w:sz w:val="22"/>
          <w:lang w:val="sr-Cyrl-CS"/>
        </w:rPr>
        <w:t xml:space="preserve">% су </w:t>
      </w:r>
      <w:r>
        <w:rPr>
          <w:rFonts w:ascii="Arial" w:hAnsi="Arial" w:cs="Arial"/>
          <w:sz w:val="22"/>
          <w:lang w:val="sr-Cyrl-BA"/>
        </w:rPr>
        <w:t>мањи</w:t>
      </w:r>
      <w:r w:rsidR="003E5828">
        <w:rPr>
          <w:rFonts w:ascii="Arial" w:hAnsi="Arial" w:cs="Arial"/>
          <w:sz w:val="22"/>
          <w:lang w:val="sr-Cyrl-CS"/>
        </w:rPr>
        <w:t xml:space="preserve"> од </w:t>
      </w:r>
      <w:r>
        <w:rPr>
          <w:rFonts w:ascii="Arial" w:hAnsi="Arial" w:cs="Arial"/>
          <w:sz w:val="22"/>
          <w:lang w:val="sr-Cyrl-CS"/>
        </w:rPr>
        <w:t>ребалансираних расхода из 2019</w:t>
      </w:r>
      <w:r w:rsidR="003E5828">
        <w:rPr>
          <w:rFonts w:ascii="Arial" w:hAnsi="Arial" w:cs="Arial"/>
          <w:sz w:val="22"/>
          <w:lang w:val="sr-Cyrl-CS"/>
        </w:rPr>
        <w:t xml:space="preserve">. године. </w:t>
      </w:r>
    </w:p>
    <w:p w:rsidR="003E5828" w:rsidRDefault="003E5828" w:rsidP="003E5828">
      <w:pPr>
        <w:jc w:val="both"/>
        <w:rPr>
          <w:rFonts w:ascii="Arial" w:hAnsi="Arial" w:cs="Arial"/>
          <w:sz w:val="22"/>
          <w:lang w:val="sr-Cyrl-CS"/>
        </w:rPr>
      </w:pPr>
    </w:p>
    <w:p w:rsidR="005A77A9" w:rsidRDefault="00D22B30" w:rsidP="003E5828">
      <w:pPr>
        <w:jc w:val="both"/>
        <w:rPr>
          <w:rFonts w:ascii="Arial" w:hAnsi="Arial" w:cs="Arial"/>
          <w:bCs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Планирани</w:t>
      </w:r>
      <w:r w:rsidR="003E5828" w:rsidRPr="003E5828">
        <w:rPr>
          <w:rFonts w:ascii="Arial" w:hAnsi="Arial" w:cs="Arial"/>
          <w:sz w:val="22"/>
          <w:lang w:val="sr-Cyrl-CS"/>
        </w:rPr>
        <w:t xml:space="preserve"> бруто </w:t>
      </w:r>
      <w:r>
        <w:rPr>
          <w:rFonts w:ascii="Arial" w:hAnsi="Arial" w:cs="Arial"/>
          <w:sz w:val="22"/>
          <w:lang w:val="sr-Cyrl-CS"/>
        </w:rPr>
        <w:t>губитак</w:t>
      </w:r>
      <w:r w:rsidR="003E5828" w:rsidRPr="003E5828">
        <w:rPr>
          <w:rFonts w:ascii="Arial" w:hAnsi="Arial" w:cs="Arial"/>
          <w:sz w:val="22"/>
          <w:lang w:val="sr-Cyrl-CS"/>
        </w:rPr>
        <w:t xml:space="preserve"> за </w:t>
      </w:r>
      <w:r w:rsidR="005A77A9" w:rsidRPr="003E5828">
        <w:rPr>
          <w:rFonts w:ascii="Arial" w:hAnsi="Arial" w:cs="Arial"/>
          <w:bCs/>
          <w:sz w:val="22"/>
          <w:lang w:val="sr-Cyrl-CS"/>
        </w:rPr>
        <w:t>20</w:t>
      </w:r>
      <w:r>
        <w:rPr>
          <w:rFonts w:ascii="Arial" w:hAnsi="Arial" w:cs="Arial"/>
          <w:bCs/>
          <w:sz w:val="22"/>
          <w:lang w:val="sr-Cyrl-BA"/>
        </w:rPr>
        <w:t>20</w:t>
      </w:r>
      <w:r w:rsidR="005A77A9" w:rsidRPr="003E5828">
        <w:rPr>
          <w:rFonts w:ascii="Arial" w:hAnsi="Arial" w:cs="Arial"/>
          <w:bCs/>
          <w:sz w:val="22"/>
        </w:rPr>
        <w:t>.</w:t>
      </w:r>
      <w:r w:rsidR="005A77A9" w:rsidRPr="003E5828">
        <w:rPr>
          <w:rFonts w:ascii="Arial" w:hAnsi="Arial" w:cs="Arial"/>
          <w:bCs/>
          <w:sz w:val="22"/>
          <w:lang w:val="sr-Cyrl-CS"/>
        </w:rPr>
        <w:t xml:space="preserve"> </w:t>
      </w:r>
      <w:r w:rsidR="003E5828" w:rsidRPr="003E5828">
        <w:rPr>
          <w:rFonts w:ascii="Arial" w:hAnsi="Arial" w:cs="Arial"/>
          <w:bCs/>
          <w:sz w:val="22"/>
          <w:lang w:val="sr-Cyrl-CS"/>
        </w:rPr>
        <w:t>г</w:t>
      </w:r>
      <w:r w:rsidR="005A77A9" w:rsidRPr="003E5828">
        <w:rPr>
          <w:rFonts w:ascii="Arial" w:hAnsi="Arial" w:cs="Arial"/>
          <w:bCs/>
          <w:sz w:val="22"/>
          <w:lang w:val="sr-Cyrl-CS"/>
        </w:rPr>
        <w:t>один</w:t>
      </w:r>
      <w:r w:rsidR="00A45F65">
        <w:rPr>
          <w:rFonts w:ascii="Arial" w:hAnsi="Arial" w:cs="Arial"/>
          <w:bCs/>
          <w:sz w:val="22"/>
          <w:lang w:val="sr-Cyrl-CS"/>
        </w:rPr>
        <w:t xml:space="preserve">у износи </w:t>
      </w:r>
      <w:r>
        <w:rPr>
          <w:rFonts w:ascii="Arial" w:hAnsi="Arial" w:cs="Arial"/>
          <w:bCs/>
          <w:sz w:val="22"/>
          <w:lang w:val="sr-Cyrl-CS"/>
        </w:rPr>
        <w:t>-2.503.496</w:t>
      </w:r>
      <w:r w:rsidR="00151F27" w:rsidRPr="003E5828">
        <w:rPr>
          <w:rFonts w:ascii="Arial" w:hAnsi="Arial" w:cs="Arial"/>
          <w:bCs/>
          <w:sz w:val="22"/>
          <w:lang w:val="sr-Cyrl-CS"/>
        </w:rPr>
        <w:t xml:space="preserve"> </w:t>
      </w:r>
      <w:r w:rsidR="005A77A9" w:rsidRPr="003E5828">
        <w:rPr>
          <w:rFonts w:ascii="Arial" w:hAnsi="Arial" w:cs="Arial"/>
          <w:bCs/>
          <w:sz w:val="22"/>
          <w:lang w:val="sr-Cyrl-CS"/>
        </w:rPr>
        <w:t>КМ</w:t>
      </w:r>
      <w:r>
        <w:rPr>
          <w:rFonts w:ascii="Arial" w:hAnsi="Arial" w:cs="Arial"/>
          <w:bCs/>
          <w:sz w:val="22"/>
          <w:lang w:val="sr-Cyrl-CS"/>
        </w:rPr>
        <w:t>.</w:t>
      </w:r>
    </w:p>
    <w:p w:rsidR="00454831" w:rsidRDefault="00454831" w:rsidP="003E5828">
      <w:pPr>
        <w:jc w:val="both"/>
        <w:rPr>
          <w:rFonts w:ascii="Arial" w:hAnsi="Arial" w:cs="Arial"/>
          <w:bCs/>
          <w:sz w:val="22"/>
          <w:lang w:val="sr-Cyrl-CS"/>
        </w:rPr>
      </w:pPr>
    </w:p>
    <w:p w:rsidR="00454831" w:rsidRPr="003E5828" w:rsidRDefault="00454831" w:rsidP="003E5828">
      <w:pPr>
        <w:jc w:val="both"/>
        <w:rPr>
          <w:rFonts w:ascii="Arial" w:hAnsi="Arial" w:cs="Arial"/>
          <w:bCs/>
          <w:sz w:val="22"/>
          <w:lang w:val="sr-Cyrl-CS"/>
        </w:rPr>
      </w:pPr>
      <w:r w:rsidRPr="00D844E1">
        <w:rPr>
          <w:rFonts w:ascii="Arial" w:hAnsi="Arial" w:cs="Arial"/>
          <w:bCs/>
          <w:sz w:val="22"/>
          <w:lang w:val="sr-Cyrl-CS"/>
        </w:rPr>
        <w:t>Овакав пословни резултат је посљедица реструктуирања дистрибутивних предузећа кроз смањење броја купаца и нето потрошње електичне енергије, а повећања трошкова бруто зарада кроз планиране стимулативне отпремнине.</w:t>
      </w:r>
    </w:p>
    <w:p w:rsidR="005A77A9" w:rsidRPr="005A77A9" w:rsidRDefault="005A77A9" w:rsidP="005A77A9">
      <w:pPr>
        <w:ind w:left="360"/>
        <w:rPr>
          <w:rFonts w:ascii="Arial" w:hAnsi="Arial" w:cs="Arial"/>
          <w:bCs/>
          <w:sz w:val="22"/>
          <w:lang w:val="sr-Cyrl-CS"/>
        </w:rPr>
      </w:pPr>
    </w:p>
    <w:p w:rsidR="002E4771" w:rsidRPr="00082FB6" w:rsidRDefault="002E4771" w:rsidP="00082FB6">
      <w:pPr>
        <w:jc w:val="center"/>
        <w:rPr>
          <w:rFonts w:ascii="Arial" w:hAnsi="Arial" w:cs="Arial"/>
          <w:sz w:val="22"/>
          <w:lang w:val="sr-Cyrl-R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ED3435" w:rsidRDefault="00ED3435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bookmarkStart w:id="106" w:name="_Toc482180881"/>
      <w:r>
        <w:rPr>
          <w:rFonts w:ascii="Arial" w:hAnsi="Arial" w:cs="Arial"/>
          <w:b/>
        </w:rPr>
        <w:br w:type="page"/>
      </w:r>
    </w:p>
    <w:p w:rsidR="009C50E0" w:rsidRDefault="00A41F25" w:rsidP="00A41F25">
      <w:pPr>
        <w:pStyle w:val="Caption"/>
        <w:rPr>
          <w:rFonts w:ascii="Arial" w:hAnsi="Arial" w:cs="Arial"/>
          <w:b w:val="0"/>
          <w:lang w:val="sr-Cyrl-BA"/>
        </w:rPr>
      </w:pPr>
      <w:bookmarkStart w:id="107" w:name="_Toc33694929"/>
      <w:proofErr w:type="gramStart"/>
      <w:r w:rsidRPr="00A41F25">
        <w:rPr>
          <w:rFonts w:ascii="Arial" w:hAnsi="Arial" w:cs="Arial"/>
          <w:b w:val="0"/>
        </w:rPr>
        <w:lastRenderedPageBreak/>
        <w:t xml:space="preserve">Табела </w:t>
      </w:r>
      <w:proofErr w:type="gramEnd"/>
      <w:r w:rsidRPr="00A41F25">
        <w:rPr>
          <w:rFonts w:ascii="Arial" w:hAnsi="Arial" w:cs="Arial"/>
          <w:b w:val="0"/>
        </w:rPr>
        <w:fldChar w:fldCharType="begin"/>
      </w:r>
      <w:r w:rsidRPr="00A41F25">
        <w:rPr>
          <w:rFonts w:ascii="Arial" w:hAnsi="Arial" w:cs="Arial"/>
          <w:b w:val="0"/>
        </w:rPr>
        <w:instrText xml:space="preserve"> SEQ Табела \* ARABIC </w:instrText>
      </w:r>
      <w:r w:rsidRPr="00A41F25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6</w:t>
      </w:r>
      <w:r w:rsidRPr="00A41F25">
        <w:rPr>
          <w:rFonts w:ascii="Arial" w:hAnsi="Arial" w:cs="Arial"/>
          <w:b w:val="0"/>
        </w:rPr>
        <w:fldChar w:fldCharType="end"/>
      </w:r>
      <w:proofErr w:type="gramStart"/>
      <w:r w:rsidRPr="00A41F25">
        <w:rPr>
          <w:rFonts w:ascii="Arial" w:hAnsi="Arial" w:cs="Arial"/>
          <w:b w:val="0"/>
          <w:lang w:val="sr-Cyrl-BA"/>
        </w:rPr>
        <w:t xml:space="preserve"> Планирани резулта</w:t>
      </w:r>
      <w:r w:rsidR="00B10AE9">
        <w:rPr>
          <w:rFonts w:ascii="Arial" w:hAnsi="Arial" w:cs="Arial"/>
          <w:b w:val="0"/>
          <w:lang w:val="sr-Cyrl-BA"/>
        </w:rPr>
        <w:t>т пословања по кварталима за 20</w:t>
      </w:r>
      <w:r w:rsidR="00B10AE9">
        <w:rPr>
          <w:rFonts w:ascii="Arial" w:hAnsi="Arial" w:cs="Arial"/>
          <w:b w:val="0"/>
          <w:lang w:val="sr-Latn-BA"/>
        </w:rPr>
        <w:t>20</w:t>
      </w:r>
      <w:r w:rsidRPr="00A41F25">
        <w:rPr>
          <w:rFonts w:ascii="Arial" w:hAnsi="Arial" w:cs="Arial"/>
          <w:b w:val="0"/>
          <w:lang w:val="sr-Cyrl-BA"/>
        </w:rPr>
        <w:t>.</w:t>
      </w:r>
      <w:proofErr w:type="gramEnd"/>
      <w:r w:rsidRPr="00A41F25">
        <w:rPr>
          <w:rFonts w:ascii="Arial" w:hAnsi="Arial" w:cs="Arial"/>
          <w:b w:val="0"/>
          <w:lang w:val="sr-Cyrl-BA"/>
        </w:rPr>
        <w:t xml:space="preserve"> </w:t>
      </w:r>
      <w:r w:rsidR="00EE2A7B">
        <w:rPr>
          <w:rFonts w:ascii="Arial" w:hAnsi="Arial" w:cs="Arial"/>
          <w:b w:val="0"/>
          <w:lang w:val="sr-Cyrl-CS"/>
        </w:rPr>
        <w:t>г</w:t>
      </w:r>
      <w:r w:rsidRPr="00A41F25">
        <w:rPr>
          <w:rFonts w:ascii="Arial" w:hAnsi="Arial" w:cs="Arial"/>
          <w:b w:val="0"/>
          <w:lang w:val="sr-Cyrl-BA"/>
        </w:rPr>
        <w:t>одину</w:t>
      </w:r>
      <w:bookmarkEnd w:id="106"/>
      <w:bookmarkEnd w:id="107"/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514"/>
        <w:gridCol w:w="1250"/>
        <w:gridCol w:w="1217"/>
        <w:gridCol w:w="1434"/>
        <w:gridCol w:w="1350"/>
        <w:gridCol w:w="1350"/>
        <w:gridCol w:w="1350"/>
        <w:gridCol w:w="630"/>
      </w:tblGrid>
      <w:tr w:rsidR="005A7E22" w:rsidRPr="005A7E22" w:rsidTr="005A7E22">
        <w:trPr>
          <w:trHeight w:val="341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6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E22" w:rsidRPr="005A7E22" w:rsidRDefault="00B10AE9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BA"/>
              </w:rPr>
              <w:t>ПЛАН ЗА 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BA"/>
              </w:rPr>
              <w:t>20</w:t>
            </w:r>
            <w:r w:rsidR="005A7E22"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BA"/>
              </w:rPr>
              <w:t xml:space="preserve">.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D22B30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Ребаланс 201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BA"/>
              </w:rPr>
              <w:t>9</w:t>
            </w:r>
            <w:r w:rsidR="005A7E22"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Индекс  6/7 </w:t>
            </w:r>
          </w:p>
        </w:tc>
      </w:tr>
      <w:tr w:rsidR="005A7E22" w:rsidRPr="005A7E22" w:rsidTr="005A7E22">
        <w:trPr>
          <w:trHeight w:val="466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       квартал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    квартал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22" w:rsidRPr="005A7E22" w:rsidRDefault="00D22B30" w:rsidP="005A7E2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Укупно план 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BA"/>
              </w:rPr>
              <w:t>20</w:t>
            </w:r>
            <w:r w:rsidR="005A7E22" w:rsidRPr="005A7E2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E22" w:rsidRPr="005A7E22" w:rsidTr="005A7E22">
        <w:trPr>
          <w:trHeight w:val="326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7E22" w:rsidRPr="005A7E22" w:rsidRDefault="005A7E22" w:rsidP="005A7E2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E22" w:rsidRPr="005A7E22" w:rsidTr="005A7E22">
        <w:trPr>
          <w:trHeight w:val="341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7E22" w:rsidRPr="005A7E22" w:rsidRDefault="005A7E22" w:rsidP="005A7E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E22">
              <w:rPr>
                <w:rFonts w:ascii="Arial" w:hAnsi="Arial" w:cs="Arial"/>
                <w:color w:val="000000"/>
                <w:sz w:val="16"/>
                <w:szCs w:val="20"/>
              </w:rPr>
              <w:t>8</w:t>
            </w:r>
          </w:p>
        </w:tc>
      </w:tr>
      <w:tr w:rsidR="001103E7" w:rsidRPr="005A7E22" w:rsidTr="005A7E22">
        <w:trPr>
          <w:trHeight w:val="326"/>
        </w:trPr>
        <w:tc>
          <w:tcPr>
            <w:tcW w:w="1514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3E7" w:rsidRPr="005A7E22" w:rsidRDefault="001103E7" w:rsidP="005A7E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Укупни приходи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23.250.399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18.067.088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17.219.061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23.917.446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82.453.994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97.716.634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1103E7" w:rsidRPr="005A7E22" w:rsidTr="005A7E22">
        <w:trPr>
          <w:trHeight w:val="326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3E7" w:rsidRPr="005A7E22" w:rsidRDefault="001103E7" w:rsidP="005A7E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color w:val="000000"/>
                <w:sz w:val="20"/>
                <w:szCs w:val="20"/>
              </w:rPr>
              <w:t>Укупни расходи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28.334.499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18.433.942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18.147.928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20.041.121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84.957.490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97.620.926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1103E7" w:rsidRPr="005A7E22" w:rsidTr="005A7E22">
        <w:trPr>
          <w:trHeight w:val="341"/>
        </w:trPr>
        <w:tc>
          <w:tcPr>
            <w:tcW w:w="151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3E7" w:rsidRPr="005A7E22" w:rsidRDefault="001103E7" w:rsidP="005A7E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E22"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Бруто резултат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-5.084.100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-366.854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-928.867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3.876.325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-2.503.496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3E7" w:rsidRDefault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95.708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3E7" w:rsidRDefault="001103E7" w:rsidP="001103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5A7E22" w:rsidRPr="005A7E22" w:rsidRDefault="005A7E22" w:rsidP="005A7E22">
      <w:pPr>
        <w:rPr>
          <w:lang w:val="sr-Cyrl-BA"/>
        </w:rPr>
      </w:pPr>
    </w:p>
    <w:p w:rsidR="009C50E0" w:rsidRPr="00FB46F0" w:rsidRDefault="009C50E0" w:rsidP="005A7E22">
      <w:pPr>
        <w:rPr>
          <w:rFonts w:ascii="Arial" w:hAnsi="Arial" w:cs="Arial"/>
          <w:bCs/>
          <w:sz w:val="20"/>
          <w:szCs w:val="20"/>
          <w:lang w:val="sr-Cyrl-CS"/>
        </w:rPr>
      </w:pPr>
    </w:p>
    <w:p w:rsidR="00A41F25" w:rsidRDefault="00A41F25" w:rsidP="00A41F25">
      <w:pPr>
        <w:pStyle w:val="Caption"/>
        <w:rPr>
          <w:rFonts w:ascii="Arial" w:hAnsi="Arial" w:cs="Arial"/>
          <w:b w:val="0"/>
        </w:rPr>
      </w:pPr>
    </w:p>
    <w:p w:rsidR="00A41F25" w:rsidRDefault="00A41F25" w:rsidP="00A41F25">
      <w:pPr>
        <w:pStyle w:val="Caption"/>
        <w:rPr>
          <w:rFonts w:ascii="Arial" w:hAnsi="Arial" w:cs="Arial"/>
          <w:b w:val="0"/>
        </w:rPr>
      </w:pPr>
    </w:p>
    <w:p w:rsidR="00A41F25" w:rsidRDefault="00A41F25" w:rsidP="00A41F25">
      <w:pPr>
        <w:pStyle w:val="Caption"/>
        <w:rPr>
          <w:rFonts w:ascii="Arial" w:hAnsi="Arial" w:cs="Arial"/>
          <w:b w:val="0"/>
        </w:rPr>
      </w:pPr>
    </w:p>
    <w:p w:rsidR="009C50E0" w:rsidRDefault="00A41F25" w:rsidP="00A41F25">
      <w:pPr>
        <w:pStyle w:val="Caption"/>
        <w:rPr>
          <w:rFonts w:ascii="Arial" w:hAnsi="Arial" w:cs="Arial"/>
          <w:b w:val="0"/>
          <w:lang w:val="sr-Cyrl-BA"/>
        </w:rPr>
      </w:pPr>
      <w:bookmarkStart w:id="108" w:name="_Toc482180571"/>
      <w:proofErr w:type="gramStart"/>
      <w:r w:rsidRPr="00A41F25">
        <w:rPr>
          <w:rFonts w:ascii="Arial" w:hAnsi="Arial" w:cs="Arial"/>
          <w:b w:val="0"/>
        </w:rPr>
        <w:t xml:space="preserve">Графикон </w:t>
      </w:r>
      <w:proofErr w:type="gramEnd"/>
      <w:r w:rsidRPr="00A41F25">
        <w:rPr>
          <w:rFonts w:ascii="Arial" w:hAnsi="Arial" w:cs="Arial"/>
          <w:b w:val="0"/>
        </w:rPr>
        <w:fldChar w:fldCharType="begin"/>
      </w:r>
      <w:r w:rsidRPr="00A41F25">
        <w:rPr>
          <w:rFonts w:ascii="Arial" w:hAnsi="Arial" w:cs="Arial"/>
          <w:b w:val="0"/>
        </w:rPr>
        <w:instrText xml:space="preserve"> SEQ Графикон \* ARABIC </w:instrText>
      </w:r>
      <w:r w:rsidRPr="00A41F25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1</w:t>
      </w:r>
      <w:r w:rsidRPr="00A41F25">
        <w:rPr>
          <w:rFonts w:ascii="Arial" w:hAnsi="Arial" w:cs="Arial"/>
          <w:b w:val="0"/>
        </w:rPr>
        <w:fldChar w:fldCharType="end"/>
      </w:r>
      <w:proofErr w:type="gramStart"/>
      <w:r w:rsidRPr="00A41F25">
        <w:rPr>
          <w:rFonts w:ascii="Arial" w:hAnsi="Arial" w:cs="Arial"/>
          <w:b w:val="0"/>
          <w:lang w:val="sr-Cyrl-BA"/>
        </w:rPr>
        <w:t xml:space="preserve"> Планирани резулта</w:t>
      </w:r>
      <w:r w:rsidR="00B10AE9">
        <w:rPr>
          <w:rFonts w:ascii="Arial" w:hAnsi="Arial" w:cs="Arial"/>
          <w:b w:val="0"/>
          <w:lang w:val="sr-Cyrl-BA"/>
        </w:rPr>
        <w:t>т пословања по кварталима за 20</w:t>
      </w:r>
      <w:r w:rsidR="00B10AE9">
        <w:rPr>
          <w:rFonts w:ascii="Arial" w:hAnsi="Arial" w:cs="Arial"/>
          <w:b w:val="0"/>
          <w:lang w:val="sr-Latn-BA"/>
        </w:rPr>
        <w:t>20</w:t>
      </w:r>
      <w:r w:rsidRPr="00A41F25">
        <w:rPr>
          <w:rFonts w:ascii="Arial" w:hAnsi="Arial" w:cs="Arial"/>
          <w:b w:val="0"/>
          <w:lang w:val="sr-Cyrl-BA"/>
        </w:rPr>
        <w:t>.</w:t>
      </w:r>
      <w:proofErr w:type="gramEnd"/>
      <w:r w:rsidRPr="00A41F25">
        <w:rPr>
          <w:rFonts w:ascii="Arial" w:hAnsi="Arial" w:cs="Arial"/>
          <w:b w:val="0"/>
          <w:lang w:val="sr-Cyrl-BA"/>
        </w:rPr>
        <w:t xml:space="preserve"> годину</w:t>
      </w:r>
      <w:bookmarkEnd w:id="108"/>
    </w:p>
    <w:p w:rsidR="00A41F25" w:rsidRPr="00A41F25" w:rsidRDefault="00A41F25" w:rsidP="00A41F25">
      <w:pPr>
        <w:rPr>
          <w:lang w:val="sr-Cyrl-BA"/>
        </w:rPr>
      </w:pPr>
    </w:p>
    <w:p w:rsidR="009C50E0" w:rsidRDefault="009C50E0" w:rsidP="00A41F25">
      <w:pPr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4563EF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  <w:r>
        <w:rPr>
          <w:rFonts w:ascii="Arial" w:hAnsi="Arial" w:cs="Arial"/>
          <w:bCs/>
          <w:noProof/>
          <w:sz w:val="22"/>
          <w:szCs w:val="28"/>
          <w:lang w:val="sr-Latn-BA" w:eastAsia="sr-Latn-BA"/>
        </w:rPr>
        <w:drawing>
          <wp:inline distT="0" distB="0" distL="0" distR="0" wp14:anchorId="7376DA38" wp14:editId="319E8C48">
            <wp:extent cx="5676900" cy="326707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5A77A9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  <w:r>
        <w:rPr>
          <w:rFonts w:ascii="Arial" w:hAnsi="Arial" w:cs="Arial"/>
          <w:noProof/>
          <w:sz w:val="22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787C40" wp14:editId="6B4371C6">
                <wp:simplePos x="0" y="0"/>
                <wp:positionH relativeFrom="column">
                  <wp:posOffset>2514600</wp:posOffset>
                </wp:positionH>
                <wp:positionV relativeFrom="paragraph">
                  <wp:posOffset>501650</wp:posOffset>
                </wp:positionV>
                <wp:extent cx="342900" cy="342900"/>
                <wp:effectExtent l="0" t="3175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54A" w:rsidRDefault="00E4454A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8pt;margin-top:39.5pt;width:27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usAIAALo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" filled="f" stroked="f">
                <v:textbox>
                  <w:txbxContent>
                    <w:p w:rsidR="00E4454A" w:rsidRDefault="00E4454A" w:rsidP="005A77A9"/>
                  </w:txbxContent>
                </v:textbox>
              </v:shape>
            </w:pict>
          </mc:Fallback>
        </mc:AlternateContent>
      </w:r>
      <w:r w:rsidR="009C50E0">
        <w:rPr>
          <w:rFonts w:ascii="Arial" w:hAnsi="Arial" w:cs="Arial"/>
          <w:bCs/>
          <w:sz w:val="22"/>
          <w:szCs w:val="28"/>
          <w:lang w:val="sr-Cyrl-CS"/>
        </w:rPr>
        <w:br/>
      </w:r>
    </w:p>
    <w:p w:rsidR="009C50E0" w:rsidRDefault="009C50E0" w:rsidP="009C50E0">
      <w:pPr>
        <w:rPr>
          <w:lang w:val="sr-Cyrl-CS"/>
        </w:rPr>
      </w:pPr>
      <w:r>
        <w:rPr>
          <w:lang w:val="sr-Cyrl-CS"/>
        </w:rPr>
        <w:br w:type="page"/>
      </w:r>
    </w:p>
    <w:p w:rsidR="005A77A9" w:rsidRPr="00475072" w:rsidRDefault="00B10AE9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109" w:name="_Toc481062259"/>
      <w:bookmarkStart w:id="110" w:name="_Toc505000332"/>
      <w:bookmarkStart w:id="111" w:name="_Toc505001147"/>
      <w:bookmarkStart w:id="112" w:name="_Toc505146392"/>
      <w:bookmarkStart w:id="113" w:name="_Toc506293270"/>
      <w:bookmarkStart w:id="114" w:name="_Toc506293304"/>
      <w:bookmarkStart w:id="115" w:name="_Toc506293433"/>
      <w:bookmarkStart w:id="116" w:name="_Toc34731952"/>
      <w:r>
        <w:rPr>
          <w:rFonts w:ascii="Arial" w:hAnsi="Arial" w:cs="Arial"/>
          <w:sz w:val="22"/>
          <w:szCs w:val="22"/>
          <w:u w:val="single"/>
        </w:rPr>
        <w:lastRenderedPageBreak/>
        <w:t>Структура укупних прихода за 20</w:t>
      </w:r>
      <w:r>
        <w:rPr>
          <w:rFonts w:ascii="Arial" w:hAnsi="Arial" w:cs="Arial"/>
          <w:sz w:val="22"/>
          <w:szCs w:val="22"/>
          <w:u w:val="single"/>
          <w:lang w:val="sr-Latn-BA"/>
        </w:rPr>
        <w:t>20</w:t>
      </w:r>
      <w:r w:rsidR="00C27C7F" w:rsidRPr="00475072">
        <w:rPr>
          <w:rFonts w:ascii="Arial" w:hAnsi="Arial" w:cs="Arial"/>
          <w:sz w:val="22"/>
          <w:szCs w:val="22"/>
          <w:u w:val="single"/>
        </w:rPr>
        <w:t>. годину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DD442A" w:rsidRPr="00DD442A" w:rsidRDefault="00DD442A" w:rsidP="00DD442A">
      <w:pPr>
        <w:pStyle w:val="Caption"/>
        <w:ind w:hanging="270"/>
        <w:rPr>
          <w:rFonts w:ascii="Arial" w:hAnsi="Arial" w:cs="Arial"/>
          <w:b w:val="0"/>
          <w:lang w:val="sr-Cyrl-BA"/>
        </w:rPr>
      </w:pPr>
      <w:bookmarkStart w:id="117" w:name="_Toc33694930"/>
      <w:proofErr w:type="gramStart"/>
      <w:r w:rsidRPr="004054DF">
        <w:rPr>
          <w:rFonts w:ascii="Arial" w:hAnsi="Arial" w:cs="Arial"/>
          <w:b w:val="0"/>
        </w:rPr>
        <w:t xml:space="preserve">Табела </w:t>
      </w:r>
      <w:proofErr w:type="gramEnd"/>
      <w:r w:rsidRPr="004054DF">
        <w:rPr>
          <w:rFonts w:ascii="Arial" w:hAnsi="Arial" w:cs="Arial"/>
          <w:b w:val="0"/>
        </w:rPr>
        <w:fldChar w:fldCharType="begin"/>
      </w:r>
      <w:r w:rsidRPr="004054DF">
        <w:rPr>
          <w:rFonts w:ascii="Arial" w:hAnsi="Arial" w:cs="Arial"/>
          <w:b w:val="0"/>
        </w:rPr>
        <w:instrText xml:space="preserve"> SEQ Табела \* ARABIC </w:instrText>
      </w:r>
      <w:r w:rsidRPr="004054DF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7</w:t>
      </w:r>
      <w:r w:rsidRPr="004054DF">
        <w:rPr>
          <w:rFonts w:ascii="Arial" w:hAnsi="Arial" w:cs="Arial"/>
          <w:b w:val="0"/>
        </w:rPr>
        <w:fldChar w:fldCharType="end"/>
      </w:r>
      <w:proofErr w:type="gramStart"/>
      <w:r w:rsidRPr="004054DF">
        <w:rPr>
          <w:rFonts w:ascii="Arial" w:hAnsi="Arial" w:cs="Arial"/>
          <w:b w:val="0"/>
          <w:lang w:val="sr-Cyrl-BA"/>
        </w:rPr>
        <w:t xml:space="preserve"> </w:t>
      </w:r>
      <w:r w:rsidR="00B10AE9">
        <w:rPr>
          <w:rFonts w:ascii="Arial" w:hAnsi="Arial" w:cs="Arial"/>
          <w:b w:val="0"/>
          <w:lang w:val="sr-Cyrl-BA"/>
        </w:rPr>
        <w:t>Структура укупних прихода за 20</w:t>
      </w:r>
      <w:r w:rsidR="00B10AE9">
        <w:rPr>
          <w:rFonts w:ascii="Arial" w:hAnsi="Arial" w:cs="Arial"/>
          <w:b w:val="0"/>
          <w:lang w:val="sr-Latn-BA"/>
        </w:rPr>
        <w:t>20</w:t>
      </w:r>
      <w:r w:rsidRPr="004054DF">
        <w:rPr>
          <w:rFonts w:ascii="Arial" w:hAnsi="Arial" w:cs="Arial"/>
          <w:b w:val="0"/>
          <w:lang w:val="sr-Cyrl-BA"/>
        </w:rPr>
        <w:t>.</w:t>
      </w:r>
      <w:proofErr w:type="gramEnd"/>
      <w:r w:rsidRPr="004054DF">
        <w:rPr>
          <w:rFonts w:ascii="Arial" w:hAnsi="Arial" w:cs="Arial"/>
          <w:b w:val="0"/>
          <w:lang w:val="sr-Cyrl-BA"/>
        </w:rPr>
        <w:t xml:space="preserve"> годину</w:t>
      </w:r>
      <w:bookmarkEnd w:id="117"/>
    </w:p>
    <w:p w:rsidR="00DD442A" w:rsidRDefault="00CB5794" w:rsidP="00487896">
      <w:pPr>
        <w:pStyle w:val="Caption"/>
        <w:ind w:hanging="270"/>
        <w:rPr>
          <w:rFonts w:ascii="Arial" w:hAnsi="Arial" w:cs="Arial"/>
          <w:b w:val="0"/>
          <w:lang w:val="sr-Cyrl-CS"/>
        </w:rPr>
      </w:pPr>
      <w:bookmarkStart w:id="118" w:name="_Toc482180882"/>
      <w:r w:rsidRPr="00CB5794">
        <w:rPr>
          <w:noProof/>
          <w:lang w:val="sr-Latn-BA" w:eastAsia="sr-Latn-BA"/>
        </w:rPr>
        <w:drawing>
          <wp:inline distT="0" distB="0" distL="0" distR="0" wp14:anchorId="54BBD54A" wp14:editId="44F269EC">
            <wp:extent cx="5619750" cy="798404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8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2A" w:rsidRDefault="00DD442A">
      <w:pPr>
        <w:spacing w:after="200" w:line="276" w:lineRule="auto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/>
          <w:lang w:val="sr-Cyrl-CS"/>
        </w:rPr>
        <w:br w:type="page"/>
      </w:r>
    </w:p>
    <w:bookmarkEnd w:id="118"/>
    <w:p w:rsidR="009C2941" w:rsidRPr="00DD442A" w:rsidRDefault="009C2941" w:rsidP="001E6892">
      <w:pPr>
        <w:jc w:val="both"/>
        <w:rPr>
          <w:rFonts w:ascii="Arial" w:hAnsi="Arial" w:cs="Arial"/>
          <w:sz w:val="22"/>
          <w:lang w:val="sr-Cyrl-CS"/>
        </w:rPr>
      </w:pPr>
    </w:p>
    <w:p w:rsidR="005A77A9" w:rsidRDefault="005A77A9" w:rsidP="001E6892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Структура укупних прихода Предузећа планираних према Плану пословања за 20</w:t>
      </w:r>
      <w:r w:rsidR="00CB5794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BA"/>
        </w:rPr>
        <w:t>.</w:t>
      </w:r>
      <w:r w:rsidRPr="005A77A9">
        <w:rPr>
          <w:rFonts w:ascii="Arial" w:hAnsi="Arial" w:cs="Arial"/>
          <w:sz w:val="22"/>
          <w:lang w:val="sr-Cyrl-CS"/>
        </w:rPr>
        <w:t xml:space="preserve"> годину, садржи </w:t>
      </w:r>
      <w:r w:rsidR="001E6892">
        <w:rPr>
          <w:rFonts w:ascii="Arial" w:hAnsi="Arial" w:cs="Arial"/>
          <w:sz w:val="22"/>
          <w:lang w:val="sr-Cyrl-CS"/>
        </w:rPr>
        <w:t>пословне приходе, финансијске, остале приходе и приходе од усклађивања вриједности имовине.</w:t>
      </w:r>
    </w:p>
    <w:p w:rsidR="001E6892" w:rsidRPr="005A77A9" w:rsidRDefault="001E6892" w:rsidP="001E6892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У оквиру појединих категорија планиране су следеће величине: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keepNext/>
        <w:ind w:left="720"/>
        <w:jc w:val="both"/>
        <w:outlineLvl w:val="7"/>
        <w:rPr>
          <w:rFonts w:ascii="Arial" w:hAnsi="Arial" w:cs="Arial"/>
          <w:b/>
          <w:color w:val="000000"/>
          <w:sz w:val="22"/>
          <w:lang w:val="sr-Cyrl-CS"/>
        </w:rPr>
      </w:pPr>
      <w:r w:rsidRPr="005A77A9">
        <w:rPr>
          <w:rFonts w:ascii="Arial" w:hAnsi="Arial" w:cs="Arial"/>
          <w:b/>
          <w:color w:val="000000"/>
          <w:sz w:val="22"/>
          <w:lang w:val="sr-Cyrl-CS"/>
        </w:rPr>
        <w:t>ПОСЛОВНИ ПРИХОД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color w:val="000000"/>
          <w:sz w:val="22"/>
          <w:lang w:val="sr-Cyrl-CS"/>
        </w:rPr>
        <w:t>Пословни приходи имају</w:t>
      </w:r>
      <w:r w:rsidRPr="005A77A9">
        <w:rPr>
          <w:rFonts w:ascii="Arial" w:hAnsi="Arial" w:cs="Arial"/>
          <w:sz w:val="22"/>
          <w:lang w:val="sr-Cyrl-CS"/>
        </w:rPr>
        <w:t xml:space="preserve"> процентуално највеће учешће. Планирани приходи су</w:t>
      </w:r>
      <w:r w:rsidR="00883C28">
        <w:rPr>
          <w:rFonts w:ascii="Arial" w:hAnsi="Arial" w:cs="Arial"/>
          <w:sz w:val="22"/>
          <w:lang w:val="sr-Latn-RS"/>
        </w:rPr>
        <w:t xml:space="preserve"> </w:t>
      </w:r>
      <w:r w:rsidR="00476DF6">
        <w:rPr>
          <w:rFonts w:ascii="Arial" w:hAnsi="Arial" w:cs="Arial"/>
          <w:sz w:val="22"/>
          <w:lang w:val="sr-Cyrl-CS"/>
        </w:rPr>
        <w:t>78,75</w:t>
      </w:r>
      <w:r w:rsidRPr="005A77A9">
        <w:rPr>
          <w:rFonts w:ascii="Arial" w:hAnsi="Arial" w:cs="Arial"/>
          <w:sz w:val="22"/>
          <w:lang w:val="sr-Cyrl-CS"/>
        </w:rPr>
        <w:t xml:space="preserve"> мил. КМ. У оквиру пословних прихода планирани су приходи од продаје електричне енергије и услуга на домаћем тржишту.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974AA2" w:rsidRDefault="005A77A9" w:rsidP="00611B3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974AA2">
        <w:rPr>
          <w:rFonts w:ascii="Arial" w:hAnsi="Arial" w:cs="Arial"/>
          <w:b/>
          <w:lang w:val="sr-Cyrl-CS"/>
        </w:rPr>
        <w:t>Приход од продаје ел</w:t>
      </w:r>
      <w:r w:rsidRPr="00974AA2">
        <w:rPr>
          <w:rFonts w:ascii="Arial" w:hAnsi="Arial" w:cs="Arial"/>
          <w:b/>
          <w:lang w:val="sr-Cyrl-RS"/>
        </w:rPr>
        <w:t>ектричне</w:t>
      </w:r>
      <w:r w:rsidRPr="00974AA2">
        <w:rPr>
          <w:rFonts w:ascii="Arial" w:hAnsi="Arial" w:cs="Arial"/>
          <w:b/>
          <w:lang w:val="sr-Cyrl-CS"/>
        </w:rPr>
        <w:t xml:space="preserve"> енергије</w:t>
      </w:r>
    </w:p>
    <w:p w:rsidR="005A77A9" w:rsidRPr="005A77A9" w:rsidRDefault="005A77A9" w:rsidP="005A77A9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CS"/>
        </w:rPr>
        <w:t>Основ за формирање прихода од продаје електричне енергије у П</w:t>
      </w:r>
      <w:r w:rsidRPr="005A77A9">
        <w:rPr>
          <w:rFonts w:ascii="Arial" w:hAnsi="Arial" w:cs="Arial"/>
          <w:sz w:val="22"/>
        </w:rPr>
        <w:t>лан</w:t>
      </w:r>
      <w:r w:rsidRPr="005A77A9">
        <w:rPr>
          <w:rFonts w:ascii="Arial" w:hAnsi="Arial" w:cs="Arial"/>
          <w:sz w:val="22"/>
          <w:lang w:val="sr-Cyrl-RS"/>
        </w:rPr>
        <w:t>у</w:t>
      </w:r>
      <w:r w:rsidR="00042060">
        <w:rPr>
          <w:rFonts w:ascii="Arial" w:hAnsi="Arial" w:cs="Arial"/>
          <w:sz w:val="22"/>
        </w:rPr>
        <w:t xml:space="preserve"> пословања за</w:t>
      </w:r>
      <w:r w:rsidR="0017059B">
        <w:rPr>
          <w:rFonts w:ascii="Arial" w:hAnsi="Arial" w:cs="Arial"/>
          <w:sz w:val="22"/>
        </w:rPr>
        <w:t xml:space="preserve"> 20</w:t>
      </w:r>
      <w:r w:rsidR="0017059B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</w:rPr>
        <w:t xml:space="preserve">. </w:t>
      </w:r>
      <w:proofErr w:type="gramStart"/>
      <w:r w:rsidRPr="005A77A9">
        <w:rPr>
          <w:rFonts w:ascii="Arial" w:hAnsi="Arial" w:cs="Arial"/>
          <w:sz w:val="22"/>
        </w:rPr>
        <w:t>годину</w:t>
      </w:r>
      <w:proofErr w:type="gramEnd"/>
      <w:r w:rsidRPr="005A77A9">
        <w:rPr>
          <w:rFonts w:ascii="Arial" w:hAnsi="Arial" w:cs="Arial"/>
          <w:sz w:val="22"/>
          <w:lang w:val="sr-Cyrl-CS"/>
        </w:rPr>
        <w:t xml:space="preserve"> је планирана нето дистрибутивна потрошња према Е</w:t>
      </w:r>
      <w:r w:rsidRPr="005A77A9">
        <w:rPr>
          <w:rFonts w:ascii="Arial" w:hAnsi="Arial" w:cs="Arial"/>
          <w:sz w:val="22"/>
        </w:rPr>
        <w:t>лектроенергетск</w:t>
      </w:r>
      <w:r w:rsidRPr="005A77A9">
        <w:rPr>
          <w:rFonts w:ascii="Arial" w:hAnsi="Arial" w:cs="Arial"/>
          <w:sz w:val="22"/>
          <w:lang w:val="sr-Cyrl-BA"/>
        </w:rPr>
        <w:t>ом</w:t>
      </w:r>
      <w:r w:rsidRPr="005A77A9">
        <w:rPr>
          <w:rFonts w:ascii="Arial" w:hAnsi="Arial" w:cs="Arial"/>
          <w:sz w:val="22"/>
        </w:rPr>
        <w:t xml:space="preserve"> биланс</w:t>
      </w:r>
      <w:r w:rsidR="0017059B">
        <w:rPr>
          <w:rFonts w:ascii="Arial" w:hAnsi="Arial" w:cs="Arial"/>
          <w:sz w:val="22"/>
          <w:lang w:val="sr-Cyrl-RS"/>
        </w:rPr>
        <w:t>у за 2020</w:t>
      </w:r>
      <w:r w:rsidRPr="005A77A9">
        <w:rPr>
          <w:rFonts w:ascii="Arial" w:hAnsi="Arial" w:cs="Arial"/>
          <w:sz w:val="22"/>
          <w:lang w:val="sr-Cyrl-RS"/>
        </w:rPr>
        <w:t>.</w:t>
      </w:r>
      <w:r w:rsidR="001362EE">
        <w:rPr>
          <w:rFonts w:ascii="Arial" w:hAnsi="Arial" w:cs="Arial"/>
          <w:sz w:val="22"/>
        </w:rPr>
        <w:t xml:space="preserve"> </w:t>
      </w:r>
      <w:r w:rsidR="00741DD2">
        <w:rPr>
          <w:rFonts w:ascii="Arial" w:hAnsi="Arial" w:cs="Arial"/>
          <w:sz w:val="22"/>
          <w:lang w:val="sr-Cyrl-CS"/>
        </w:rPr>
        <w:t>г</w:t>
      </w:r>
      <w:r w:rsidRPr="005A77A9">
        <w:rPr>
          <w:rFonts w:ascii="Arial" w:hAnsi="Arial" w:cs="Arial"/>
          <w:sz w:val="22"/>
          <w:lang w:val="sr-Cyrl-RS"/>
        </w:rPr>
        <w:t>одину</w:t>
      </w:r>
      <w:r w:rsidRPr="005A77A9">
        <w:rPr>
          <w:rFonts w:ascii="Arial" w:hAnsi="Arial" w:cs="Arial"/>
          <w:sz w:val="22"/>
          <w:lang w:val="sr-Cyrl-CS"/>
        </w:rPr>
        <w:t xml:space="preserve"> и планирана цијена електричне енергије утврђена на основу тарифних ставова за неквалификоване купце електричне енергије у Републици Српској.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0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Планирана нето дистрибутивна потрошња према Електроенергетском билансу </w:t>
      </w:r>
      <w:r w:rsidRPr="005A77A9">
        <w:rPr>
          <w:rFonts w:ascii="Arial" w:hAnsi="Arial" w:cs="Arial"/>
          <w:sz w:val="22"/>
        </w:rPr>
        <w:t xml:space="preserve">за </w:t>
      </w:r>
      <w:r w:rsidRPr="005A77A9">
        <w:rPr>
          <w:rFonts w:ascii="Arial" w:hAnsi="Arial" w:cs="Arial"/>
          <w:sz w:val="22"/>
          <w:lang w:val="sr-Cyrl-CS"/>
        </w:rPr>
        <w:t>20</w:t>
      </w:r>
      <w:r w:rsidR="0017059B">
        <w:rPr>
          <w:rFonts w:ascii="Arial" w:hAnsi="Arial" w:cs="Arial"/>
          <w:sz w:val="22"/>
          <w:lang w:val="sr-Cyrl-CS"/>
        </w:rPr>
        <w:t>20</w:t>
      </w:r>
      <w:r w:rsidRPr="005A77A9">
        <w:rPr>
          <w:rFonts w:ascii="Arial" w:hAnsi="Arial" w:cs="Arial"/>
          <w:sz w:val="22"/>
          <w:lang w:val="sr-Cyrl-CS"/>
        </w:rPr>
        <w:t xml:space="preserve">. </w:t>
      </w:r>
      <w:r w:rsidR="00FC1526" w:rsidRPr="00FC50AF">
        <w:rPr>
          <w:rFonts w:ascii="Arial" w:hAnsi="Arial" w:cs="Arial"/>
          <w:sz w:val="22"/>
          <w:lang w:val="sr-Cyrl-CS"/>
        </w:rPr>
        <w:t>г</w:t>
      </w:r>
      <w:r w:rsidRPr="00FC50AF">
        <w:rPr>
          <w:rFonts w:ascii="Arial" w:hAnsi="Arial" w:cs="Arial"/>
          <w:sz w:val="22"/>
        </w:rPr>
        <w:t xml:space="preserve">одину </w:t>
      </w:r>
      <w:r w:rsidRPr="00FC50AF">
        <w:rPr>
          <w:rFonts w:ascii="Arial" w:hAnsi="Arial" w:cs="Arial"/>
          <w:sz w:val="22"/>
          <w:lang w:val="sr-Cyrl-CS"/>
        </w:rPr>
        <w:t xml:space="preserve">износи </w:t>
      </w:r>
      <w:r w:rsidR="00744831">
        <w:rPr>
          <w:rFonts w:ascii="Arial" w:hAnsi="Arial" w:cs="Arial"/>
          <w:sz w:val="22"/>
          <w:lang w:val="sr-Cyrl-CS"/>
        </w:rPr>
        <w:t>430</w:t>
      </w:r>
      <w:r w:rsidR="00FC50AF" w:rsidRPr="00FC50AF">
        <w:rPr>
          <w:rFonts w:ascii="Arial" w:hAnsi="Arial" w:cs="Arial"/>
          <w:sz w:val="22"/>
          <w:lang w:val="sr-Cyrl-CS"/>
        </w:rPr>
        <w:t>,</w:t>
      </w:r>
      <w:r w:rsidR="00744831">
        <w:rPr>
          <w:rFonts w:ascii="Arial" w:hAnsi="Arial" w:cs="Arial"/>
          <w:sz w:val="22"/>
          <w:lang w:val="sr-Cyrl-CS"/>
        </w:rPr>
        <w:t>42</w:t>
      </w:r>
      <w:r w:rsidR="00883C28" w:rsidRPr="00FC50AF">
        <w:rPr>
          <w:rFonts w:ascii="Arial" w:hAnsi="Arial" w:cs="Arial"/>
          <w:sz w:val="22"/>
          <w:lang w:val="sr-Cyrl-BA"/>
        </w:rPr>
        <w:t xml:space="preserve"> </w:t>
      </w:r>
      <w:r w:rsidRPr="00FC50AF">
        <w:rPr>
          <w:rFonts w:ascii="Arial" w:hAnsi="Arial" w:cs="Arial"/>
          <w:sz w:val="22"/>
          <w:lang w:val="sr-Latn-CS"/>
        </w:rPr>
        <w:t>GWh</w:t>
      </w:r>
      <w:r w:rsidRPr="005A77A9">
        <w:rPr>
          <w:rFonts w:ascii="Arial" w:hAnsi="Arial" w:cs="Arial"/>
          <w:sz w:val="22"/>
          <w:lang w:val="sr-Cyrl-CS"/>
        </w:rPr>
        <w:t xml:space="preserve">. </w:t>
      </w:r>
    </w:p>
    <w:p w:rsidR="00744831" w:rsidRPr="005A77A9" w:rsidRDefault="00744831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Приход од продаје ел. </w:t>
      </w:r>
      <w:r w:rsidR="00FC1526">
        <w:rPr>
          <w:rFonts w:ascii="Arial" w:hAnsi="Arial" w:cs="Arial"/>
          <w:sz w:val="22"/>
          <w:lang w:val="sr-Cyrl-CS"/>
        </w:rPr>
        <w:t>е</w:t>
      </w:r>
      <w:r w:rsidRPr="005A77A9">
        <w:rPr>
          <w:rFonts w:ascii="Arial" w:hAnsi="Arial" w:cs="Arial"/>
          <w:sz w:val="22"/>
          <w:lang w:val="sr-Cyrl-CS"/>
        </w:rPr>
        <w:t xml:space="preserve">нергије у </w:t>
      </w:r>
      <w:r w:rsidR="0048405B">
        <w:rPr>
          <w:rFonts w:ascii="Arial" w:hAnsi="Arial" w:cs="Arial"/>
          <w:sz w:val="22"/>
          <w:lang w:val="sr-Cyrl-CS"/>
        </w:rPr>
        <w:t xml:space="preserve">плану </w:t>
      </w:r>
      <w:r w:rsidR="00042060">
        <w:rPr>
          <w:rFonts w:ascii="Arial" w:hAnsi="Arial" w:cs="Arial"/>
          <w:sz w:val="22"/>
          <w:lang w:val="sr-Cyrl-CS"/>
        </w:rPr>
        <w:t xml:space="preserve">ЕЕБ формиран је на бази </w:t>
      </w:r>
      <w:r w:rsidR="000E6F9C">
        <w:rPr>
          <w:rFonts w:ascii="Arial" w:hAnsi="Arial" w:cs="Arial"/>
          <w:sz w:val="22"/>
          <w:lang w:val="sr-Cyrl-CS"/>
        </w:rPr>
        <w:t>10,83</w:t>
      </w:r>
      <w:r w:rsidR="00FA0845" w:rsidRPr="00FC50AF">
        <w:rPr>
          <w:rFonts w:ascii="Arial" w:hAnsi="Arial" w:cs="Arial"/>
          <w:sz w:val="22"/>
          <w:lang w:val="sr-Latn-RS"/>
        </w:rPr>
        <w:t>%</w:t>
      </w:r>
      <w:r w:rsidRPr="00FC50AF">
        <w:rPr>
          <w:rFonts w:ascii="Arial" w:hAnsi="Arial" w:cs="Arial"/>
          <w:sz w:val="22"/>
          <w:lang w:val="sr-Cyrl-CS"/>
        </w:rPr>
        <w:t xml:space="preserve"> </w:t>
      </w:r>
      <w:r w:rsidR="000E6F9C">
        <w:rPr>
          <w:rFonts w:ascii="Arial" w:hAnsi="Arial" w:cs="Arial"/>
          <w:sz w:val="22"/>
          <w:lang w:val="sr-Cyrl-CS"/>
        </w:rPr>
        <w:t>губитака.</w:t>
      </w:r>
    </w:p>
    <w:p w:rsidR="005A77A9" w:rsidRPr="005A77A9" w:rsidRDefault="005A77A9" w:rsidP="005A77A9">
      <w:pPr>
        <w:ind w:firstLine="360"/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</w:rPr>
      </w:pPr>
      <w:r w:rsidRPr="005A77A9">
        <w:rPr>
          <w:rFonts w:ascii="Arial" w:hAnsi="Arial" w:cs="Arial"/>
          <w:sz w:val="22"/>
          <w:lang w:val="sr-Cyrl-CS"/>
        </w:rPr>
        <w:t>На основу напријед наведених количи</w:t>
      </w:r>
      <w:r w:rsidR="00042060">
        <w:rPr>
          <w:rFonts w:ascii="Arial" w:hAnsi="Arial" w:cs="Arial"/>
          <w:sz w:val="22"/>
          <w:lang w:val="sr-Cyrl-CS"/>
        </w:rPr>
        <w:t xml:space="preserve">на и цијена добија се </w:t>
      </w:r>
      <w:r w:rsidR="00042060" w:rsidRPr="00FC50AF">
        <w:rPr>
          <w:rFonts w:ascii="Arial" w:hAnsi="Arial" w:cs="Arial"/>
          <w:sz w:val="22"/>
          <w:lang w:val="sr-Cyrl-CS"/>
        </w:rPr>
        <w:t xml:space="preserve">износ од </w:t>
      </w:r>
      <w:r w:rsidR="000E6F9C">
        <w:rPr>
          <w:rFonts w:ascii="Arial" w:hAnsi="Arial" w:cs="Arial"/>
          <w:sz w:val="22"/>
          <w:lang w:val="sr-Cyrl-CS"/>
        </w:rPr>
        <w:t>59,72</w:t>
      </w:r>
      <w:r w:rsidRPr="00FC50AF">
        <w:rPr>
          <w:rFonts w:ascii="Arial" w:hAnsi="Arial" w:cs="Arial"/>
          <w:sz w:val="22"/>
          <w:lang w:val="sr-Cyrl-CS"/>
        </w:rPr>
        <w:t xml:space="preserve"> мил. КМ, што </w:t>
      </w:r>
      <w:r w:rsidRPr="005A77A9">
        <w:rPr>
          <w:rFonts w:ascii="Arial" w:hAnsi="Arial" w:cs="Arial"/>
          <w:sz w:val="22"/>
          <w:lang w:val="sr-Cyrl-CS"/>
        </w:rPr>
        <w:t>представља приход од продаје енергије на домаћем тржишту</w:t>
      </w:r>
      <w:r w:rsidRPr="005A77A9">
        <w:rPr>
          <w:rFonts w:ascii="Arial" w:hAnsi="Arial" w:cs="Arial"/>
          <w:sz w:val="22"/>
        </w:rPr>
        <w:t>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4B2428" w:rsidRPr="004B2428" w:rsidRDefault="005A77A9" w:rsidP="004B2428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5A77A9">
        <w:rPr>
          <w:rFonts w:ascii="Arial" w:hAnsi="Arial" w:cs="Arial"/>
          <w:sz w:val="22"/>
          <w:lang w:val="sr-Cyrl-CS"/>
        </w:rPr>
        <w:t>Електроенергетски биланс ЗЕДП ''Електро-Бијељина'' а.д. садржи поред планираних количина потошње електричне ен</w:t>
      </w:r>
      <w:r w:rsidRPr="005A77A9">
        <w:rPr>
          <w:rFonts w:ascii="Arial" w:hAnsi="Arial" w:cs="Arial"/>
          <w:sz w:val="22"/>
        </w:rPr>
        <w:t>е</w:t>
      </w:r>
      <w:r w:rsidRPr="005A77A9">
        <w:rPr>
          <w:rFonts w:ascii="Arial" w:hAnsi="Arial" w:cs="Arial"/>
          <w:sz w:val="22"/>
          <w:lang w:val="sr-Cyrl-CS"/>
        </w:rPr>
        <w:t xml:space="preserve">ргије преузете из система и планирану проиозводњу двије мале хидроелектране (Власеница и Тишча). Производња електричне енергије у малим хидроелектранама према ЕЕБ планирана је у износима на нивоу просјека за последње три године. Приход од производње МХЕ чини око </w:t>
      </w:r>
      <w:r w:rsidR="003630CA">
        <w:rPr>
          <w:rFonts w:ascii="Arial" w:hAnsi="Arial" w:cs="Arial"/>
          <w:sz w:val="22"/>
          <w:lang w:val="sr-Cyrl-CS"/>
        </w:rPr>
        <w:t>1</w:t>
      </w:r>
      <w:r w:rsidR="00153458">
        <w:rPr>
          <w:rFonts w:ascii="Arial" w:hAnsi="Arial" w:cs="Arial"/>
          <w:sz w:val="22"/>
          <w:lang w:val="sr-Cyrl-CS"/>
        </w:rPr>
        <w:t>%</w:t>
      </w:r>
      <w:r w:rsidR="004B2428">
        <w:rPr>
          <w:rFonts w:ascii="Arial" w:hAnsi="Arial" w:cs="Arial"/>
          <w:sz w:val="22"/>
          <w:lang w:val="sr-Cyrl-CS"/>
        </w:rPr>
        <w:t xml:space="preserve"> реализације Предузећа</w:t>
      </w:r>
      <w:r w:rsidRPr="005A77A9">
        <w:rPr>
          <w:rFonts w:ascii="Arial" w:hAnsi="Arial" w:cs="Arial"/>
          <w:sz w:val="22"/>
          <w:lang w:val="sr-Cyrl-CS"/>
        </w:rPr>
        <w:t>. Утицај производње МХЕ на ЕЕ</w:t>
      </w:r>
      <w:r w:rsidRPr="005A77A9">
        <w:rPr>
          <w:rFonts w:ascii="Arial" w:hAnsi="Arial" w:cs="Arial"/>
          <w:sz w:val="22"/>
        </w:rPr>
        <w:t>Б</w:t>
      </w:r>
      <w:r w:rsidRPr="005A77A9">
        <w:rPr>
          <w:rFonts w:ascii="Arial" w:hAnsi="Arial" w:cs="Arial"/>
          <w:sz w:val="22"/>
          <w:lang w:val="sr-Cyrl-CS"/>
        </w:rPr>
        <w:t xml:space="preserve"> је значајан, нарочито на простору РЈ Власеница. </w:t>
      </w:r>
      <w:r w:rsidR="009F1D6F" w:rsidRPr="000F3E88">
        <w:rPr>
          <w:rFonts w:ascii="Arial" w:hAnsi="Arial" w:cs="Arial"/>
          <w:bCs/>
          <w:sz w:val="22"/>
          <w:szCs w:val="22"/>
          <w:lang w:val="ru-RU"/>
        </w:rPr>
        <w:t xml:space="preserve">Од 2017. </w:t>
      </w:r>
      <w:r w:rsidR="0003004A">
        <w:rPr>
          <w:rFonts w:ascii="Arial" w:hAnsi="Arial" w:cs="Arial"/>
          <w:bCs/>
          <w:sz w:val="22"/>
          <w:szCs w:val="22"/>
          <w:lang w:val="ru-RU"/>
        </w:rPr>
        <w:t>г</w:t>
      </w:r>
      <w:r w:rsidR="009F1D6F" w:rsidRPr="000F3E88">
        <w:rPr>
          <w:rFonts w:ascii="Arial" w:hAnsi="Arial" w:cs="Arial"/>
          <w:bCs/>
          <w:sz w:val="22"/>
          <w:szCs w:val="22"/>
          <w:lang w:val="ru-RU"/>
        </w:rPr>
        <w:t xml:space="preserve">одине у ЕЕБ ЗЕДП ''Електро-Бијељина'' а.д. Бијељина планира се производња </w:t>
      </w:r>
      <w:r w:rsidR="009F1D6F">
        <w:rPr>
          <w:rFonts w:ascii="Arial" w:hAnsi="Arial" w:cs="Arial"/>
          <w:bCs/>
          <w:sz w:val="22"/>
          <w:szCs w:val="22"/>
          <w:lang w:val="ru-RU"/>
        </w:rPr>
        <w:t xml:space="preserve">двије </w:t>
      </w:r>
      <w:r w:rsidR="009F1D6F" w:rsidRPr="000F3E88">
        <w:rPr>
          <w:rFonts w:ascii="Arial" w:hAnsi="Arial" w:cs="Arial"/>
          <w:bCs/>
          <w:sz w:val="22"/>
          <w:szCs w:val="22"/>
          <w:lang w:val="ru-RU"/>
        </w:rPr>
        <w:t xml:space="preserve">приватне мини хидроелектране ''Јована'' која се налази на подручју Општине Милићи, чија је снага 950 </w:t>
      </w:r>
      <w:r w:rsidR="009F1D6F"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 xml:space="preserve">W </w:t>
      </w:r>
      <w:r w:rsidR="009F1D6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и мини хидроелектрана „Штедрић“, чија је снага 850 </w:t>
      </w:r>
      <w:r w:rsidR="009F1D6F">
        <w:rPr>
          <w:rFonts w:ascii="Arial" w:hAnsi="Arial" w:cs="Arial"/>
          <w:bCs/>
          <w:color w:val="000000"/>
          <w:sz w:val="22"/>
          <w:szCs w:val="22"/>
          <w:lang w:val="sr-Latn-CS" w:eastAsia="sr-Latn-BA"/>
        </w:rPr>
        <w:t xml:space="preserve">kW, </w:t>
      </w:r>
      <w:r w:rsidR="009F1D6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>те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производња двије соларне електране са подручја Општине Бијељина, снаге 180 </w:t>
      </w:r>
      <w:r w:rsidR="009F1D6F"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и 10 </w:t>
      </w:r>
      <w:r w:rsidR="009F1D6F"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 w:rsidR="003D4C0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Такође, планирана је производња у МХЕ Испод Кушлата и МХЕ Медош. </w:t>
      </w:r>
      <w:r w:rsidR="003630CA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Укупна производња МХЕ у 20</w:t>
      </w:r>
      <w:r w:rsidR="003630CA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20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 w:rsidR="0003004A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г</w:t>
      </w:r>
      <w:r w:rsidR="009F1D6F"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одини износи </w:t>
      </w:r>
      <w:r w:rsidR="00D25B4D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24,</w:t>
      </w:r>
      <w:r w:rsidR="00D25B4D" w:rsidRPr="00D25B4D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40</w:t>
      </w:r>
      <w:r w:rsidR="009F1D6F" w:rsidRPr="00D25B4D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</w:t>
      </w:r>
      <w:r w:rsidR="009F1D6F" w:rsidRPr="00D25B4D">
        <w:rPr>
          <w:rFonts w:ascii="Arial" w:hAnsi="Arial" w:cs="Arial"/>
          <w:sz w:val="22"/>
          <w:lang w:val="sr-Latn-CS"/>
        </w:rPr>
        <w:t>GWh</w:t>
      </w:r>
      <w:r w:rsidR="00D25B4D" w:rsidRPr="00D25B4D">
        <w:rPr>
          <w:rFonts w:ascii="Arial" w:hAnsi="Arial" w:cs="Arial"/>
          <w:sz w:val="22"/>
          <w:lang w:val="sr-Latn-CS"/>
        </w:rPr>
        <w:t>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7E09D5" w:rsidRDefault="005A77A9" w:rsidP="00D25B4D">
      <w:pPr>
        <w:pStyle w:val="ListParagraph"/>
        <w:numPr>
          <w:ilvl w:val="0"/>
          <w:numId w:val="2"/>
        </w:numPr>
        <w:jc w:val="both"/>
        <w:rPr>
          <w:lang w:val="sr-Cyrl-BA"/>
        </w:rPr>
      </w:pPr>
      <w:r w:rsidRPr="007E09D5">
        <w:rPr>
          <w:rFonts w:ascii="Arial" w:hAnsi="Arial" w:cs="Arial"/>
          <w:b/>
          <w:sz w:val="22"/>
        </w:rPr>
        <w:t>Приход од продаје услуга</w:t>
      </w:r>
      <w:r w:rsidRPr="007E09D5">
        <w:rPr>
          <w:rFonts w:ascii="Arial" w:hAnsi="Arial" w:cs="Arial"/>
          <w:b/>
          <w:sz w:val="18"/>
          <w:lang w:val="sr-Cyrl-CS"/>
        </w:rPr>
        <w:t xml:space="preserve"> </w:t>
      </w:r>
      <w:r w:rsidRPr="007E09D5">
        <w:rPr>
          <w:rFonts w:ascii="Arial" w:hAnsi="Arial" w:cs="Arial"/>
          <w:sz w:val="22"/>
          <w:lang w:val="sr-Cyrl-CS"/>
        </w:rPr>
        <w:t xml:space="preserve">планирани су у износу од </w:t>
      </w:r>
      <w:r w:rsidR="003630CA">
        <w:rPr>
          <w:rFonts w:ascii="Arial" w:hAnsi="Arial" w:cs="Arial"/>
          <w:sz w:val="22"/>
          <w:lang w:val="sr-Latn-RS"/>
        </w:rPr>
        <w:t>12</w:t>
      </w:r>
      <w:proofErr w:type="gramStart"/>
      <w:r w:rsidR="00E77B22">
        <w:rPr>
          <w:rFonts w:ascii="Arial" w:hAnsi="Arial" w:cs="Arial"/>
          <w:sz w:val="22"/>
          <w:lang w:val="sr-Latn-RS"/>
        </w:rPr>
        <w:t>,</w:t>
      </w:r>
      <w:r w:rsidR="003630CA">
        <w:rPr>
          <w:rFonts w:ascii="Arial" w:hAnsi="Arial" w:cs="Arial"/>
          <w:sz w:val="22"/>
          <w:lang w:val="sr-Latn-RS"/>
        </w:rPr>
        <w:t>22</w:t>
      </w:r>
      <w:proofErr w:type="gramEnd"/>
      <w:r w:rsidR="00FA0845" w:rsidRPr="007E09D5">
        <w:rPr>
          <w:rFonts w:ascii="Arial" w:hAnsi="Arial" w:cs="Arial"/>
          <w:sz w:val="22"/>
          <w:lang w:val="sr-Latn-RS"/>
        </w:rPr>
        <w:t xml:space="preserve"> </w:t>
      </w:r>
      <w:r w:rsidR="00910145">
        <w:rPr>
          <w:rFonts w:ascii="Arial" w:hAnsi="Arial" w:cs="Arial"/>
          <w:sz w:val="22"/>
          <w:lang w:val="sr-Cyrl-CS"/>
        </w:rPr>
        <w:t>мил. КМ</w:t>
      </w:r>
      <w:r w:rsidR="00910145">
        <w:rPr>
          <w:rFonts w:ascii="Arial" w:hAnsi="Arial" w:cs="Arial"/>
          <w:sz w:val="22"/>
          <w:lang w:val="sr-Latn-BA"/>
        </w:rPr>
        <w:t xml:space="preserve">, a </w:t>
      </w:r>
      <w:r w:rsidR="00910145">
        <w:rPr>
          <w:rFonts w:ascii="Arial" w:hAnsi="Arial" w:cs="Arial"/>
          <w:sz w:val="22"/>
          <w:lang w:val="sr-Cyrl-BA"/>
        </w:rPr>
        <w:t xml:space="preserve">односе се на </w:t>
      </w:r>
      <w:r w:rsidR="000F2209">
        <w:rPr>
          <w:rFonts w:ascii="Arial" w:hAnsi="Arial" w:cs="Arial"/>
          <w:sz w:val="22"/>
          <w:lang w:val="sr-Cyrl-BA"/>
        </w:rPr>
        <w:t xml:space="preserve">Приходе од продаје услуга повезаним правним лицима – 11,011 мил. </w:t>
      </w:r>
      <w:r w:rsidR="004376CE">
        <w:rPr>
          <w:rFonts w:ascii="Arial" w:hAnsi="Arial" w:cs="Arial"/>
          <w:sz w:val="22"/>
          <w:lang w:val="sr-Cyrl-BA"/>
        </w:rPr>
        <w:t>КМ</w:t>
      </w:r>
      <w:r w:rsidR="000F2209">
        <w:rPr>
          <w:rFonts w:ascii="Arial" w:hAnsi="Arial" w:cs="Arial"/>
          <w:sz w:val="22"/>
          <w:lang w:val="sr-Cyrl-BA"/>
        </w:rPr>
        <w:t>(Услуге дистрибутивне мрежарине – 10,57 мил.</w:t>
      </w:r>
      <w:r w:rsidR="004376CE">
        <w:rPr>
          <w:rFonts w:ascii="Arial" w:hAnsi="Arial" w:cs="Arial"/>
          <w:sz w:val="22"/>
          <w:lang w:val="sr-Cyrl-BA"/>
        </w:rPr>
        <w:t xml:space="preserve"> КМ</w:t>
      </w:r>
      <w:r w:rsidR="000F2209">
        <w:rPr>
          <w:rFonts w:ascii="Arial" w:hAnsi="Arial" w:cs="Arial"/>
          <w:sz w:val="22"/>
          <w:lang w:val="sr-Cyrl-BA"/>
        </w:rPr>
        <w:t xml:space="preserve"> и Приход од продаје енергије ППЛ – Тишча - 0,44 мил.</w:t>
      </w:r>
      <w:r w:rsidR="004376CE">
        <w:rPr>
          <w:rFonts w:ascii="Arial" w:hAnsi="Arial" w:cs="Arial"/>
          <w:sz w:val="22"/>
          <w:lang w:val="sr-Cyrl-BA"/>
        </w:rPr>
        <w:t xml:space="preserve"> КМ</w:t>
      </w:r>
      <w:r w:rsidR="000F2209">
        <w:rPr>
          <w:rFonts w:ascii="Arial" w:hAnsi="Arial" w:cs="Arial"/>
          <w:sz w:val="22"/>
          <w:lang w:val="sr-Cyrl-BA"/>
        </w:rPr>
        <w:t>) и Приходи од услуга на домаћем тржишту – 1,21 мил.</w:t>
      </w:r>
      <w:r w:rsidR="004376CE">
        <w:rPr>
          <w:rFonts w:ascii="Arial" w:hAnsi="Arial" w:cs="Arial"/>
          <w:sz w:val="22"/>
          <w:lang w:val="sr-Cyrl-BA"/>
        </w:rPr>
        <w:t xml:space="preserve"> КМ.</w:t>
      </w:r>
    </w:p>
    <w:p w:rsidR="005A77A9" w:rsidRPr="00611B3A" w:rsidRDefault="005A77A9" w:rsidP="005A77A9">
      <w:pPr>
        <w:rPr>
          <w:rFonts w:ascii="Arial" w:hAnsi="Arial" w:cs="Arial"/>
          <w:lang w:val="sr-Cyrl-BA"/>
        </w:rPr>
      </w:pPr>
    </w:p>
    <w:p w:rsidR="005A77A9" w:rsidRPr="00611B3A" w:rsidRDefault="005A77A9" w:rsidP="00D25B4D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611B3A">
        <w:rPr>
          <w:rFonts w:ascii="Arial" w:hAnsi="Arial" w:cs="Arial"/>
          <w:b/>
          <w:bCs/>
          <w:sz w:val="22"/>
          <w:lang w:val="sr-Cyrl-CS"/>
        </w:rPr>
        <w:t xml:space="preserve">Приход од активирања </w:t>
      </w:r>
      <w:r w:rsidRPr="00611B3A">
        <w:rPr>
          <w:rFonts w:ascii="Arial" w:hAnsi="Arial" w:cs="Arial"/>
          <w:b/>
          <w:bCs/>
          <w:sz w:val="22"/>
        </w:rPr>
        <w:t>робе и учинака</w:t>
      </w:r>
      <w:r w:rsidRPr="00611B3A">
        <w:rPr>
          <w:rFonts w:ascii="Arial" w:hAnsi="Arial" w:cs="Arial"/>
          <w:sz w:val="22"/>
          <w:lang w:val="sr-Cyrl-CS"/>
        </w:rPr>
        <w:t xml:space="preserve"> чији се износ у наредном периоду процјењују на </w:t>
      </w:r>
      <w:r w:rsidR="004376CE">
        <w:rPr>
          <w:rFonts w:ascii="Arial" w:hAnsi="Arial" w:cs="Arial"/>
          <w:sz w:val="22"/>
          <w:lang w:val="sr-Cyrl-CS"/>
        </w:rPr>
        <w:t>5 мил.</w:t>
      </w:r>
      <w:r w:rsidR="00E77B22">
        <w:rPr>
          <w:rFonts w:ascii="Arial" w:hAnsi="Arial" w:cs="Arial"/>
          <w:sz w:val="22"/>
          <w:lang w:val="sr-Cyrl-CS"/>
        </w:rPr>
        <w:t xml:space="preserve"> </w:t>
      </w:r>
      <w:r w:rsidRPr="00611B3A">
        <w:rPr>
          <w:rFonts w:ascii="Arial" w:hAnsi="Arial" w:cs="Arial"/>
          <w:sz w:val="22"/>
          <w:lang w:val="sr-Cyrl-CS"/>
        </w:rPr>
        <w:t xml:space="preserve">КМ односи се на ангажована сопствена средства у инвестиционој изградњи. </w:t>
      </w:r>
    </w:p>
    <w:p w:rsidR="005A77A9" w:rsidRPr="00611B3A" w:rsidRDefault="005A77A9" w:rsidP="005A77A9">
      <w:pPr>
        <w:jc w:val="both"/>
        <w:rPr>
          <w:rFonts w:ascii="Arial" w:hAnsi="Arial" w:cs="Arial"/>
          <w:sz w:val="22"/>
        </w:rPr>
      </w:pPr>
    </w:p>
    <w:p w:rsidR="005A77A9" w:rsidRPr="00611B3A" w:rsidRDefault="005A77A9" w:rsidP="00D25B4D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lang w:val="sr-Cyrl-CS"/>
        </w:rPr>
      </w:pPr>
      <w:r w:rsidRPr="00611B3A">
        <w:rPr>
          <w:rFonts w:ascii="Arial" w:hAnsi="Arial" w:cs="Arial"/>
          <w:b/>
          <w:bCs/>
          <w:sz w:val="22"/>
          <w:lang w:val="sr-Cyrl-RS"/>
        </w:rPr>
        <w:t xml:space="preserve">Остали пословни приходи </w:t>
      </w:r>
      <w:r w:rsidRPr="00611B3A">
        <w:rPr>
          <w:rFonts w:ascii="Arial" w:hAnsi="Arial" w:cs="Arial"/>
          <w:bCs/>
          <w:sz w:val="22"/>
          <w:lang w:val="sr-Cyrl-RS"/>
        </w:rPr>
        <w:t xml:space="preserve">планирани су у износу од </w:t>
      </w:r>
      <w:r w:rsidR="003D6882">
        <w:rPr>
          <w:rFonts w:ascii="Arial" w:hAnsi="Arial" w:cs="Arial"/>
          <w:bCs/>
          <w:sz w:val="22"/>
          <w:lang w:val="sr-Latn-BA"/>
        </w:rPr>
        <w:t>1</w:t>
      </w:r>
      <w:r w:rsidR="003D6882">
        <w:rPr>
          <w:rFonts w:ascii="Arial" w:hAnsi="Arial" w:cs="Arial"/>
          <w:bCs/>
          <w:sz w:val="22"/>
          <w:lang w:val="sr-Cyrl-CS"/>
        </w:rPr>
        <w:t>,</w:t>
      </w:r>
      <w:r w:rsidR="003D6882">
        <w:rPr>
          <w:rFonts w:ascii="Arial" w:hAnsi="Arial" w:cs="Arial"/>
          <w:bCs/>
          <w:sz w:val="22"/>
          <w:lang w:val="sr-Latn-BA"/>
        </w:rPr>
        <w:t>8</w:t>
      </w:r>
      <w:r w:rsidR="00F53AFF">
        <w:rPr>
          <w:rFonts w:ascii="Arial" w:hAnsi="Arial" w:cs="Arial"/>
          <w:bCs/>
          <w:sz w:val="22"/>
          <w:lang w:val="sr-Cyrl-CS"/>
        </w:rPr>
        <w:t>0</w:t>
      </w:r>
      <w:r w:rsidR="00FA0845" w:rsidRPr="00611B3A">
        <w:rPr>
          <w:rFonts w:ascii="Arial" w:hAnsi="Arial" w:cs="Arial"/>
          <w:bCs/>
          <w:sz w:val="22"/>
          <w:lang w:val="sr-Latn-RS"/>
        </w:rPr>
        <w:t xml:space="preserve"> </w:t>
      </w:r>
      <w:r w:rsidRPr="00611B3A">
        <w:rPr>
          <w:rFonts w:ascii="Arial" w:hAnsi="Arial" w:cs="Arial"/>
          <w:bCs/>
          <w:sz w:val="22"/>
          <w:lang w:val="sr-Cyrl-RS"/>
        </w:rPr>
        <w:t xml:space="preserve">мил. КМ и на тој позицији налазе се приходи од </w:t>
      </w:r>
      <w:r w:rsidR="00AB0E27" w:rsidRPr="00611B3A">
        <w:rPr>
          <w:rFonts w:ascii="Arial" w:hAnsi="Arial" w:cs="Arial"/>
          <w:bCs/>
          <w:sz w:val="22"/>
          <w:lang w:val="sr-Cyrl-RS"/>
        </w:rPr>
        <w:t xml:space="preserve">примљених средстава без накнаде од других </w:t>
      </w:r>
      <w:r w:rsidR="00AB0E27" w:rsidRPr="00611B3A">
        <w:rPr>
          <w:rFonts w:ascii="Arial" w:hAnsi="Arial" w:cs="Arial"/>
          <w:bCs/>
          <w:sz w:val="22"/>
          <w:lang w:val="sr-Cyrl-RS"/>
        </w:rPr>
        <w:lastRenderedPageBreak/>
        <w:t xml:space="preserve">правних лица, тачније прикључци изграђени у ранијим периодима који су се до сада налазили у власништву потрошача. </w:t>
      </w:r>
    </w:p>
    <w:p w:rsidR="005A77A9" w:rsidRPr="005A77A9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RS"/>
        </w:rPr>
      </w:pPr>
    </w:p>
    <w:p w:rsidR="005A77A9" w:rsidRPr="005A77A9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>ФИНАНСИЈСКИ ПРИХОД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Планирани су према Плану пословања у износу од </w:t>
      </w:r>
      <w:r w:rsidR="003D6882">
        <w:rPr>
          <w:rFonts w:ascii="Arial" w:hAnsi="Arial" w:cs="Arial"/>
          <w:sz w:val="22"/>
          <w:lang w:val="sr-Latn-BA"/>
        </w:rPr>
        <w:t>1</w:t>
      </w:r>
      <w:r w:rsidR="003D6882">
        <w:rPr>
          <w:rFonts w:ascii="Arial" w:hAnsi="Arial" w:cs="Arial"/>
          <w:sz w:val="22"/>
          <w:lang w:val="sr-Cyrl-CS"/>
        </w:rPr>
        <w:t>,</w:t>
      </w:r>
      <w:r w:rsidR="003D6882">
        <w:rPr>
          <w:rFonts w:ascii="Arial" w:hAnsi="Arial" w:cs="Arial"/>
          <w:sz w:val="22"/>
          <w:lang w:val="sr-Latn-BA"/>
        </w:rPr>
        <w:t>4</w:t>
      </w:r>
      <w:r w:rsidR="00F53AFF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мил. КМ</w:t>
      </w:r>
      <w:r w:rsidR="00883C28">
        <w:rPr>
          <w:rFonts w:ascii="Arial" w:hAnsi="Arial" w:cs="Arial"/>
          <w:sz w:val="22"/>
          <w:lang w:val="sr-Cyrl-CS"/>
        </w:rPr>
        <w:t>.</w:t>
      </w:r>
      <w:r w:rsidRPr="005A77A9">
        <w:rPr>
          <w:rFonts w:ascii="Arial" w:hAnsi="Arial" w:cs="Arial"/>
          <w:sz w:val="22"/>
          <w:lang w:val="sr-Cyrl-CS"/>
        </w:rPr>
        <w:t xml:space="preserve"> Планирани приход потиче од затезних камата по основу неблаговременог плаћања електричне енергије. </w:t>
      </w:r>
    </w:p>
    <w:p w:rsidR="005A77A9" w:rsidRPr="005A77A9" w:rsidRDefault="005A77A9" w:rsidP="004B2428">
      <w:pPr>
        <w:keepNext/>
        <w:jc w:val="both"/>
        <w:outlineLvl w:val="8"/>
        <w:rPr>
          <w:rFonts w:ascii="Arial" w:hAnsi="Arial" w:cs="Arial"/>
          <w:b/>
          <w:sz w:val="22"/>
          <w:lang w:val="sr-Cyrl-CS"/>
        </w:rPr>
      </w:pPr>
    </w:p>
    <w:p w:rsidR="005A77A9" w:rsidRPr="005A77A9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>ОСТАЛИ ПРИХОД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705EB4" w:rsidRDefault="00883C28" w:rsidP="005A77A9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У структури осталог прихода</w:t>
      </w:r>
      <w:r w:rsidR="005A77A9" w:rsidRPr="005A77A9">
        <w:rPr>
          <w:rFonts w:ascii="Arial" w:hAnsi="Arial" w:cs="Arial"/>
          <w:sz w:val="22"/>
          <w:lang w:val="sr-Cyrl-CS"/>
        </w:rPr>
        <w:t xml:space="preserve"> планирана је наплата око </w:t>
      </w:r>
      <w:r w:rsidR="00705EB4">
        <w:rPr>
          <w:rFonts w:ascii="Arial" w:hAnsi="Arial" w:cs="Arial"/>
          <w:sz w:val="22"/>
          <w:lang w:val="sr-Cyrl-CS"/>
        </w:rPr>
        <w:t>1.2 мил.</w:t>
      </w:r>
      <w:r w:rsidR="005A77A9" w:rsidRPr="005A77A9">
        <w:rPr>
          <w:rFonts w:ascii="Arial" w:hAnsi="Arial" w:cs="Arial"/>
          <w:sz w:val="22"/>
          <w:lang w:val="sr-Cyrl-CS"/>
        </w:rPr>
        <w:t xml:space="preserve"> КМ потраживања</w:t>
      </w:r>
      <w:r w:rsidR="00605C8D">
        <w:rPr>
          <w:rFonts w:ascii="Arial" w:hAnsi="Arial" w:cs="Arial"/>
          <w:sz w:val="22"/>
          <w:lang w:val="sr-Latn-BA"/>
        </w:rPr>
        <w:t xml:space="preserve">, </w:t>
      </w:r>
      <w:r w:rsidR="00605C8D">
        <w:rPr>
          <w:rFonts w:ascii="Arial" w:hAnsi="Arial" w:cs="Arial"/>
          <w:sz w:val="22"/>
          <w:lang w:val="sr-Cyrl-BA"/>
        </w:rPr>
        <w:t xml:space="preserve">смањења </w:t>
      </w:r>
      <w:r w:rsidR="00705EB4">
        <w:rPr>
          <w:rFonts w:ascii="Arial" w:hAnsi="Arial" w:cs="Arial"/>
          <w:sz w:val="22"/>
          <w:lang w:val="sr-Cyrl-BA"/>
        </w:rPr>
        <w:t xml:space="preserve">обавеза, </w:t>
      </w:r>
      <w:r w:rsidR="00605C8D">
        <w:rPr>
          <w:rFonts w:ascii="Arial" w:hAnsi="Arial" w:cs="Arial"/>
          <w:sz w:val="22"/>
          <w:lang w:val="sr-Cyrl-BA"/>
        </w:rPr>
        <w:t>укидања</w:t>
      </w:r>
      <w:r w:rsidR="00705EB4">
        <w:rPr>
          <w:rFonts w:ascii="Arial" w:hAnsi="Arial" w:cs="Arial"/>
          <w:sz w:val="22"/>
          <w:lang w:val="sr-Cyrl-BA"/>
        </w:rPr>
        <w:t xml:space="preserve"> неискориштених дугорочних резервисања и остали непоменути приходи у износу од 1,2 мил</w:t>
      </w:r>
      <w:r w:rsidR="0017143B">
        <w:rPr>
          <w:rFonts w:ascii="Arial" w:hAnsi="Arial" w:cs="Arial"/>
          <w:sz w:val="22"/>
          <w:lang w:val="sr-Cyrl-CS"/>
        </w:rPr>
        <w:t>.</w:t>
      </w:r>
      <w:r w:rsidR="00705EB4">
        <w:rPr>
          <w:rFonts w:ascii="Arial" w:hAnsi="Arial" w:cs="Arial"/>
          <w:sz w:val="22"/>
          <w:lang w:val="sr-Cyrl-CS"/>
        </w:rPr>
        <w:t xml:space="preserve"> КМ. У извршним поступцима чији су предмет биле непокретности Предузеће је постало власник и посједник парцела:</w:t>
      </w:r>
    </w:p>
    <w:p w:rsidR="00705EB4" w:rsidRDefault="002E66E6" w:rsidP="005A77A9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- </w:t>
      </w:r>
      <w:r w:rsidR="00705EB4">
        <w:rPr>
          <w:rFonts w:ascii="Arial" w:hAnsi="Arial" w:cs="Arial"/>
          <w:sz w:val="22"/>
          <w:lang w:val="sr-Cyrl-CS"/>
        </w:rPr>
        <w:t>к.ч. 1254 у К.О Велика Обарска,</w:t>
      </w:r>
    </w:p>
    <w:p w:rsidR="00705EB4" w:rsidRDefault="002E66E6" w:rsidP="005A77A9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- </w:t>
      </w:r>
      <w:r w:rsidR="00705EB4">
        <w:rPr>
          <w:rFonts w:ascii="Arial" w:hAnsi="Arial" w:cs="Arial"/>
          <w:sz w:val="22"/>
          <w:lang w:val="sr-Cyrl-CS"/>
        </w:rPr>
        <w:t>к.ч. 697/2 у К.О Попови,</w:t>
      </w:r>
    </w:p>
    <w:p w:rsidR="002E66E6" w:rsidRDefault="002E66E6" w:rsidP="005A77A9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- </w:t>
      </w:r>
      <w:r w:rsidR="00705EB4">
        <w:rPr>
          <w:rFonts w:ascii="Arial" w:hAnsi="Arial" w:cs="Arial"/>
          <w:sz w:val="22"/>
          <w:lang w:val="sr-Cyrl-CS"/>
        </w:rPr>
        <w:t xml:space="preserve">те сувласник парцеле к.ч. 295/1 у К.О. Хасе у омјесу 1938/168850, што одговара парцелама к.ч. 603/3 и к.ч. </w:t>
      </w:r>
      <w:r>
        <w:rPr>
          <w:rFonts w:ascii="Arial" w:hAnsi="Arial" w:cs="Arial"/>
          <w:sz w:val="22"/>
          <w:lang w:val="sr-Cyrl-CS"/>
        </w:rPr>
        <w:t>603/4.</w:t>
      </w:r>
    </w:p>
    <w:p w:rsidR="00705EB4" w:rsidRDefault="002E66E6" w:rsidP="005A77A9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Планирани су добици од продаје ових непокретности у износу од 20.000 КМ.</w:t>
      </w:r>
    </w:p>
    <w:p w:rsidR="002E66E6" w:rsidRDefault="002E66E6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45A1E" w:rsidRDefault="005A77A9" w:rsidP="005A77A9">
      <w:pPr>
        <w:jc w:val="both"/>
        <w:rPr>
          <w:rFonts w:ascii="Arial" w:hAnsi="Arial" w:cs="Arial"/>
          <w:b/>
          <w:bCs/>
          <w:sz w:val="22"/>
          <w:u w:val="single"/>
          <w:lang w:val="sr-Cyrl-BA"/>
        </w:rPr>
      </w:pPr>
      <w:r w:rsidRPr="00545A1E">
        <w:rPr>
          <w:rFonts w:ascii="Arial" w:hAnsi="Arial" w:cs="Arial"/>
          <w:b/>
          <w:bCs/>
          <w:noProof/>
          <w:sz w:val="22"/>
          <w:u w:val="single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350DAE" wp14:editId="665A9FE7">
                <wp:simplePos x="0" y="0"/>
                <wp:positionH relativeFrom="column">
                  <wp:posOffset>2514600</wp:posOffset>
                </wp:positionH>
                <wp:positionV relativeFrom="paragraph">
                  <wp:posOffset>608965</wp:posOffset>
                </wp:positionV>
                <wp:extent cx="342900" cy="342900"/>
                <wp:effectExtent l="0" t="0" r="254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54A" w:rsidRDefault="00E4454A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8pt;margin-top:47.9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Dt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" filled="f" stroked="f">
                <v:textbox>
                  <w:txbxContent>
                    <w:p w:rsidR="00E4454A" w:rsidRDefault="00E4454A" w:rsidP="005A77A9"/>
                  </w:txbxContent>
                </v:textbox>
              </v:shape>
            </w:pict>
          </mc:Fallback>
        </mc:AlternateContent>
      </w:r>
      <w:proofErr w:type="gramStart"/>
      <w:r w:rsidRPr="00545A1E">
        <w:rPr>
          <w:rFonts w:ascii="Arial" w:hAnsi="Arial" w:cs="Arial"/>
          <w:b/>
          <w:bCs/>
          <w:sz w:val="22"/>
          <w:u w:val="single"/>
        </w:rPr>
        <w:t>Структура укупн</w:t>
      </w:r>
      <w:r w:rsidRPr="00545A1E">
        <w:rPr>
          <w:rFonts w:ascii="Arial" w:hAnsi="Arial" w:cs="Arial"/>
          <w:b/>
          <w:bCs/>
          <w:sz w:val="22"/>
          <w:u w:val="single"/>
          <w:lang w:val="sr-Cyrl-RS"/>
        </w:rPr>
        <w:t>о планираних</w:t>
      </w:r>
      <w:r w:rsidR="002E66E6" w:rsidRPr="00545A1E">
        <w:rPr>
          <w:rFonts w:ascii="Arial" w:hAnsi="Arial" w:cs="Arial"/>
          <w:b/>
          <w:bCs/>
          <w:sz w:val="22"/>
          <w:u w:val="single"/>
        </w:rPr>
        <w:t xml:space="preserve"> прихода за 20</w:t>
      </w:r>
      <w:r w:rsidR="002E66E6" w:rsidRPr="00545A1E">
        <w:rPr>
          <w:rFonts w:ascii="Arial" w:hAnsi="Arial" w:cs="Arial"/>
          <w:b/>
          <w:bCs/>
          <w:sz w:val="22"/>
          <w:u w:val="single"/>
          <w:lang w:val="sr-Cyrl-BA"/>
        </w:rPr>
        <w:t>20</w:t>
      </w:r>
      <w:r w:rsidRPr="00545A1E">
        <w:rPr>
          <w:rFonts w:ascii="Arial" w:hAnsi="Arial" w:cs="Arial"/>
          <w:b/>
          <w:bCs/>
          <w:sz w:val="22"/>
          <w:u w:val="single"/>
        </w:rPr>
        <w:t>.</w:t>
      </w:r>
      <w:proofErr w:type="gramEnd"/>
      <w:r w:rsidRPr="00545A1E">
        <w:rPr>
          <w:rFonts w:ascii="Arial" w:hAnsi="Arial" w:cs="Arial"/>
          <w:b/>
          <w:bCs/>
          <w:sz w:val="22"/>
          <w:u w:val="single"/>
        </w:rPr>
        <w:t xml:space="preserve"> </w:t>
      </w:r>
      <w:r w:rsidR="00A70107" w:rsidRPr="00545A1E">
        <w:rPr>
          <w:rFonts w:ascii="Arial" w:hAnsi="Arial" w:cs="Arial"/>
          <w:b/>
          <w:bCs/>
          <w:sz w:val="22"/>
          <w:u w:val="single"/>
          <w:lang w:val="sr-Cyrl-CS"/>
        </w:rPr>
        <w:t>г</w:t>
      </w:r>
      <w:r w:rsidRPr="00545A1E">
        <w:rPr>
          <w:rFonts w:ascii="Arial" w:hAnsi="Arial" w:cs="Arial"/>
          <w:b/>
          <w:bCs/>
          <w:sz w:val="22"/>
          <w:u w:val="single"/>
        </w:rPr>
        <w:t>одину</w:t>
      </w:r>
      <w:r w:rsidR="002E66E6" w:rsidRPr="00545A1E">
        <w:rPr>
          <w:rFonts w:ascii="Arial" w:hAnsi="Arial" w:cs="Arial"/>
          <w:b/>
          <w:bCs/>
          <w:sz w:val="22"/>
          <w:u w:val="single"/>
          <w:lang w:val="sr-Cyrl-BA"/>
        </w:rPr>
        <w:t xml:space="preserve"> била би сљ</w:t>
      </w:r>
      <w:r w:rsidR="00883C28" w:rsidRPr="00545A1E">
        <w:rPr>
          <w:rFonts w:ascii="Arial" w:hAnsi="Arial" w:cs="Arial"/>
          <w:b/>
          <w:bCs/>
          <w:sz w:val="22"/>
          <w:u w:val="single"/>
          <w:lang w:val="sr-Cyrl-BA"/>
        </w:rPr>
        <w:t>едећа:</w:t>
      </w:r>
    </w:p>
    <w:tbl>
      <w:tblPr>
        <w:tblW w:w="9814" w:type="dxa"/>
        <w:tblLook w:val="0000" w:firstRow="0" w:lastRow="0" w:firstColumn="0" w:lastColumn="0" w:noHBand="0" w:noVBand="0"/>
      </w:tblPr>
      <w:tblGrid>
        <w:gridCol w:w="9814"/>
      </w:tblGrid>
      <w:tr w:rsidR="005A77A9" w:rsidRPr="005A77A9" w:rsidTr="002E4771">
        <w:trPr>
          <w:trHeight w:val="354"/>
        </w:trPr>
        <w:tc>
          <w:tcPr>
            <w:tcW w:w="9814" w:type="dxa"/>
            <w:tcBorders>
              <w:bottom w:val="single" w:sz="4" w:space="0" w:color="auto"/>
            </w:tcBorders>
            <w:vAlign w:val="center"/>
          </w:tcPr>
          <w:p w:rsidR="005A77A9" w:rsidRPr="005A77A9" w:rsidRDefault="005A77A9" w:rsidP="00EA4428">
            <w:pPr>
              <w:rPr>
                <w:rFonts w:ascii="Arial" w:hAnsi="Arial" w:cs="Arial"/>
                <w:sz w:val="22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lang w:val="sr-Cyrl-CS"/>
              </w:rPr>
              <w:t xml:space="preserve">Приход од електричне енергије преузете из система  .....................     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59</w:t>
            </w:r>
            <w:r w:rsidR="00927EF4">
              <w:rPr>
                <w:rFonts w:ascii="Arial" w:hAnsi="Arial" w:cs="Arial"/>
                <w:sz w:val="22"/>
                <w:lang w:val="sr-Cyrl-CS"/>
              </w:rPr>
              <w:t>.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729</w:t>
            </w:r>
            <w:r w:rsidR="00927EF4">
              <w:rPr>
                <w:rFonts w:ascii="Arial" w:hAnsi="Arial" w:cs="Arial"/>
                <w:sz w:val="22"/>
                <w:lang w:val="sr-Cyrl-CS"/>
              </w:rPr>
              <w:t>.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312</w:t>
            </w:r>
            <w:r w:rsidR="00C321C1">
              <w:rPr>
                <w:rFonts w:ascii="Arial" w:hAnsi="Arial" w:cs="Arial"/>
                <w:sz w:val="22"/>
                <w:lang w:val="sr-Cyrl-CS"/>
              </w:rPr>
              <w:t xml:space="preserve">,00 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D65678">
              <w:rPr>
                <w:rFonts w:ascii="Arial" w:hAnsi="Arial" w:cs="Arial"/>
                <w:sz w:val="22"/>
                <w:lang w:val="sr-Cyrl-CS"/>
              </w:rPr>
              <w:t xml:space="preserve">     </w:t>
            </w:r>
            <w:r w:rsidR="009E2E72">
              <w:rPr>
                <w:rFonts w:ascii="Arial" w:hAnsi="Arial" w:cs="Arial"/>
                <w:sz w:val="22"/>
                <w:lang w:val="sr-Cyrl-CS"/>
              </w:rPr>
              <w:t>72</w:t>
            </w:r>
            <w:r w:rsidR="00C321C1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5A77A9" w:rsidTr="002E4771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A9" w:rsidRPr="005A77A9" w:rsidRDefault="005A77A9" w:rsidP="00EA4428">
            <w:pPr>
              <w:rPr>
                <w:rFonts w:ascii="Arial" w:hAnsi="Arial" w:cs="Arial"/>
                <w:sz w:val="22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lang w:val="sr-Cyrl-CS"/>
              </w:rPr>
              <w:t xml:space="preserve">Приход од продаје услуга ......................................................................  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1</w:t>
            </w:r>
            <w:r w:rsidR="00E77B22">
              <w:rPr>
                <w:rFonts w:ascii="Arial" w:hAnsi="Arial" w:cs="Arial"/>
                <w:sz w:val="22"/>
                <w:lang w:val="sr-Cyrl-CS"/>
              </w:rPr>
              <w:t>2.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228</w:t>
            </w:r>
            <w:r w:rsidR="00E77B22">
              <w:rPr>
                <w:rFonts w:ascii="Arial" w:hAnsi="Arial" w:cs="Arial"/>
                <w:sz w:val="22"/>
                <w:lang w:val="sr-Cyrl-CS"/>
              </w:rPr>
              <w:t>.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682</w:t>
            </w:r>
            <w:r w:rsidR="00E77B22">
              <w:rPr>
                <w:rFonts w:ascii="Arial" w:hAnsi="Arial" w:cs="Arial"/>
                <w:sz w:val="22"/>
                <w:lang w:val="sr-Latn-BA"/>
              </w:rPr>
              <w:t>,00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     </w:t>
            </w:r>
            <w:r w:rsidR="00D65678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9E2E72">
              <w:rPr>
                <w:rFonts w:ascii="Arial" w:hAnsi="Arial" w:cs="Arial"/>
                <w:sz w:val="22"/>
                <w:lang w:val="sr-Cyrl-CS"/>
              </w:rPr>
              <w:t>15</w:t>
            </w:r>
            <w:r w:rsidR="00C321C1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5A77A9" w:rsidTr="002E4771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A9" w:rsidRPr="005A77A9" w:rsidRDefault="005A77A9" w:rsidP="009E2E72">
            <w:pPr>
              <w:rPr>
                <w:rFonts w:ascii="Arial" w:hAnsi="Arial" w:cs="Arial"/>
                <w:sz w:val="22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lang w:val="sr-Cyrl-CS"/>
              </w:rPr>
              <w:t>Приход од властитих учинака на реализацији инвестиција ..............</w:t>
            </w:r>
            <w:r w:rsidR="00EA4428">
              <w:rPr>
                <w:rFonts w:ascii="Arial" w:hAnsi="Arial" w:cs="Arial"/>
                <w:sz w:val="22"/>
                <w:lang w:val="sr-Cyrl-CS"/>
              </w:rPr>
              <w:t xml:space="preserve">      5.000</w:t>
            </w:r>
            <w:r w:rsidR="00C321C1">
              <w:rPr>
                <w:rFonts w:ascii="Arial" w:hAnsi="Arial" w:cs="Arial"/>
                <w:sz w:val="22"/>
                <w:lang w:val="sr-Cyrl-CS"/>
              </w:rPr>
              <w:t xml:space="preserve">.000,00 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     </w:t>
            </w:r>
            <w:r w:rsidR="00D65678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9E2E72">
              <w:rPr>
                <w:rFonts w:ascii="Arial" w:hAnsi="Arial" w:cs="Arial"/>
                <w:sz w:val="22"/>
                <w:lang w:val="sr-Cyrl-CS"/>
              </w:rPr>
              <w:t>6</w:t>
            </w:r>
            <w:r w:rsidR="00C321C1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5A77A9" w:rsidTr="002E4771">
        <w:trPr>
          <w:trHeight w:val="359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A9" w:rsidRPr="005A77A9" w:rsidRDefault="005A77A9" w:rsidP="00EA4428">
            <w:pPr>
              <w:rPr>
                <w:rFonts w:ascii="Arial" w:hAnsi="Arial" w:cs="Arial"/>
                <w:sz w:val="22"/>
              </w:rPr>
            </w:pPr>
            <w:r w:rsidRPr="005A77A9">
              <w:rPr>
                <w:rFonts w:ascii="Arial" w:hAnsi="Arial" w:cs="Arial"/>
                <w:sz w:val="22"/>
              </w:rPr>
              <w:t>Остали</w:t>
            </w:r>
            <w:r w:rsidRPr="005A77A9">
              <w:rPr>
                <w:rFonts w:ascii="Arial" w:hAnsi="Arial" w:cs="Arial"/>
                <w:sz w:val="22"/>
                <w:lang w:val="sr-Cyrl-CS"/>
              </w:rPr>
              <w:t xml:space="preserve"> пословни приход  ........................................................................  </w:t>
            </w:r>
            <w:r w:rsidR="00EA4428">
              <w:rPr>
                <w:rFonts w:ascii="Arial" w:hAnsi="Arial" w:cs="Arial"/>
                <w:sz w:val="22"/>
                <w:lang w:val="sr-Cyrl-CS"/>
              </w:rPr>
              <w:t xml:space="preserve"> 1.8</w:t>
            </w:r>
            <w:r w:rsidR="00C321C1">
              <w:rPr>
                <w:rFonts w:ascii="Arial" w:hAnsi="Arial" w:cs="Arial"/>
                <w:sz w:val="22"/>
                <w:lang w:val="sr-Cyrl-CS"/>
              </w:rPr>
              <w:t xml:space="preserve">00.000,00 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     </w:t>
            </w:r>
            <w:r w:rsidR="00EA4428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D65678"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 w:rsidR="009E2E72">
              <w:rPr>
                <w:rFonts w:ascii="Arial" w:hAnsi="Arial" w:cs="Arial"/>
                <w:sz w:val="22"/>
                <w:lang w:val="sr-Cyrl-CS"/>
              </w:rPr>
              <w:t>2</w:t>
            </w:r>
            <w:r w:rsidR="00C321C1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5A77A9" w:rsidTr="002E4771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A9" w:rsidRPr="005A77A9" w:rsidRDefault="00A539DD" w:rsidP="00EA4428">
            <w:pPr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Финансијски приход </w:t>
            </w:r>
            <w:r w:rsidR="005A77A9" w:rsidRPr="005A77A9">
              <w:rPr>
                <w:rFonts w:ascii="Arial" w:hAnsi="Arial" w:cs="Arial"/>
                <w:sz w:val="22"/>
                <w:lang w:val="sr-Cyrl-CS"/>
              </w:rPr>
              <w:t>....................................................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...........................     </w:t>
            </w:r>
            <w:r w:rsidR="00EA4428">
              <w:rPr>
                <w:rFonts w:ascii="Arial" w:hAnsi="Arial" w:cs="Arial"/>
                <w:sz w:val="22"/>
                <w:lang w:val="sr-Cyrl-CS"/>
              </w:rPr>
              <w:t>1.401.0</w:t>
            </w:r>
            <w:r w:rsidR="00C321C1">
              <w:rPr>
                <w:rFonts w:ascii="Arial" w:hAnsi="Arial" w:cs="Arial"/>
                <w:sz w:val="22"/>
                <w:lang w:val="sr-Cyrl-CS"/>
              </w:rPr>
              <w:t xml:space="preserve">00,00  </w:t>
            </w:r>
            <w:r w:rsidR="000C3AFE">
              <w:rPr>
                <w:rFonts w:ascii="Arial" w:hAnsi="Arial" w:cs="Arial"/>
                <w:sz w:val="22"/>
                <w:lang w:val="sr-Cyrl-CS"/>
              </w:rPr>
              <w:t xml:space="preserve">     </w:t>
            </w:r>
            <w:r w:rsidR="00D65678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9E2E72">
              <w:rPr>
                <w:rFonts w:ascii="Arial" w:hAnsi="Arial" w:cs="Arial"/>
                <w:sz w:val="22"/>
                <w:lang w:val="sr-Cyrl-CS"/>
              </w:rPr>
              <w:t xml:space="preserve"> 2</w:t>
            </w:r>
            <w:r w:rsidR="00C321C1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5A77A9" w:rsidTr="002E4771">
        <w:trPr>
          <w:trHeight w:val="425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A9" w:rsidRPr="005A77A9" w:rsidRDefault="005A77A9" w:rsidP="00EA4428">
            <w:pPr>
              <w:rPr>
                <w:rFonts w:ascii="Arial" w:hAnsi="Arial" w:cs="Arial"/>
                <w:sz w:val="22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lang w:val="sr-Cyrl-CS"/>
              </w:rPr>
              <w:t>Остали приходи ......................................................................................</w:t>
            </w:r>
            <w:r w:rsidRPr="005A77A9">
              <w:rPr>
                <w:rFonts w:ascii="Arial" w:hAnsi="Arial" w:cs="Arial"/>
                <w:sz w:val="22"/>
              </w:rPr>
              <w:t xml:space="preserve">  </w:t>
            </w:r>
            <w:r w:rsidR="00C751C5">
              <w:rPr>
                <w:rFonts w:ascii="Arial" w:hAnsi="Arial" w:cs="Arial"/>
                <w:sz w:val="22"/>
                <w:lang w:val="sr-Cyrl-RS"/>
              </w:rPr>
              <w:t xml:space="preserve">  </w:t>
            </w:r>
            <w:r w:rsidR="00E77B22">
              <w:rPr>
                <w:rFonts w:ascii="Arial" w:hAnsi="Arial" w:cs="Arial"/>
                <w:sz w:val="22"/>
                <w:lang w:val="sr-Cyrl-RS"/>
              </w:rPr>
              <w:t xml:space="preserve"> 2.</w:t>
            </w:r>
            <w:r w:rsidR="00EA4428">
              <w:rPr>
                <w:rFonts w:ascii="Arial" w:hAnsi="Arial" w:cs="Arial"/>
                <w:sz w:val="22"/>
                <w:lang w:val="sr-Cyrl-RS"/>
              </w:rPr>
              <w:t>295</w:t>
            </w:r>
            <w:r w:rsidR="00C321C1">
              <w:rPr>
                <w:rFonts w:ascii="Arial" w:hAnsi="Arial" w:cs="Arial"/>
                <w:sz w:val="22"/>
                <w:lang w:val="sr-Cyrl-RS"/>
              </w:rPr>
              <w:t xml:space="preserve">.000,00 </w:t>
            </w:r>
            <w:r w:rsidR="000C3AFE">
              <w:rPr>
                <w:rFonts w:ascii="Arial" w:hAnsi="Arial" w:cs="Arial"/>
                <w:sz w:val="22"/>
                <w:lang w:val="sr-Cyrl-RS"/>
              </w:rPr>
              <w:t xml:space="preserve">    </w:t>
            </w:r>
            <w:r w:rsidR="00D65678">
              <w:rPr>
                <w:rFonts w:ascii="Arial" w:hAnsi="Arial" w:cs="Arial"/>
                <w:sz w:val="22"/>
                <w:lang w:val="sr-Cyrl-RS"/>
              </w:rPr>
              <w:t xml:space="preserve">    </w:t>
            </w:r>
            <w:r w:rsidR="009E2E72">
              <w:rPr>
                <w:rFonts w:ascii="Arial" w:hAnsi="Arial" w:cs="Arial"/>
                <w:sz w:val="22"/>
                <w:lang w:val="sr-Cyrl-RS"/>
              </w:rPr>
              <w:t xml:space="preserve">  3</w:t>
            </w:r>
            <w:r w:rsidR="00C321C1">
              <w:rPr>
                <w:rFonts w:ascii="Arial" w:hAnsi="Arial" w:cs="Arial"/>
                <w:sz w:val="22"/>
                <w:lang w:val="sr-Cyrl-RS"/>
              </w:rPr>
              <w:t>%</w:t>
            </w:r>
          </w:p>
        </w:tc>
      </w:tr>
      <w:tr w:rsidR="005A77A9" w:rsidRPr="005A77A9" w:rsidTr="002E4771">
        <w:trPr>
          <w:trHeight w:val="359"/>
        </w:trPr>
        <w:tc>
          <w:tcPr>
            <w:tcW w:w="9814" w:type="dxa"/>
            <w:tcBorders>
              <w:top w:val="single" w:sz="4" w:space="0" w:color="auto"/>
            </w:tcBorders>
            <w:vAlign w:val="center"/>
          </w:tcPr>
          <w:p w:rsidR="005A77A9" w:rsidRPr="00C751C5" w:rsidRDefault="005A77A9" w:rsidP="009E2E72">
            <w:pPr>
              <w:rPr>
                <w:rFonts w:ascii="Arial" w:hAnsi="Arial" w:cs="Arial"/>
                <w:b/>
                <w:bCs/>
                <w:sz w:val="22"/>
                <w:lang w:val="sr-Cyrl-RS"/>
              </w:rPr>
            </w:pPr>
            <w:r w:rsidRPr="005A77A9">
              <w:rPr>
                <w:rFonts w:ascii="Arial" w:hAnsi="Arial" w:cs="Arial"/>
                <w:b/>
                <w:bCs/>
                <w:sz w:val="22"/>
                <w:lang w:val="sr-Cyrl-CS"/>
              </w:rPr>
              <w:t>УКУПАН ПРИХОД: ....................................................</w:t>
            </w:r>
            <w:r w:rsidR="00C751C5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..........................   </w:t>
            </w:r>
            <w:r w:rsidR="00E77B22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   </w:t>
            </w:r>
            <w:r w:rsidR="009E2E72">
              <w:rPr>
                <w:rFonts w:ascii="Arial" w:hAnsi="Arial" w:cs="Arial"/>
                <w:b/>
                <w:bCs/>
                <w:sz w:val="22"/>
                <w:lang w:val="sr-Cyrl-CS"/>
              </w:rPr>
              <w:t>82</w:t>
            </w:r>
            <w:r w:rsidR="00E77B22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9E2E72">
              <w:rPr>
                <w:rFonts w:ascii="Arial" w:hAnsi="Arial" w:cs="Arial"/>
                <w:b/>
                <w:bCs/>
                <w:sz w:val="22"/>
                <w:lang w:val="sr-Cyrl-CS"/>
              </w:rPr>
              <w:t>453</w:t>
            </w:r>
            <w:r w:rsidR="00E77B22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9E2E72">
              <w:rPr>
                <w:rFonts w:ascii="Arial" w:hAnsi="Arial" w:cs="Arial"/>
                <w:b/>
                <w:bCs/>
                <w:sz w:val="22"/>
                <w:lang w:val="sr-Cyrl-CS"/>
              </w:rPr>
              <w:t>994</w:t>
            </w:r>
            <w:r w:rsidR="00C321C1">
              <w:rPr>
                <w:rFonts w:ascii="Arial" w:hAnsi="Arial" w:cs="Arial"/>
                <w:b/>
                <w:bCs/>
                <w:sz w:val="22"/>
                <w:lang w:val="sr-Cyrl-CS"/>
              </w:rPr>
              <w:t>,</w:t>
            </w:r>
            <w:r w:rsidR="00CD48A5">
              <w:rPr>
                <w:rFonts w:ascii="Arial" w:hAnsi="Arial" w:cs="Arial"/>
                <w:b/>
                <w:bCs/>
                <w:sz w:val="22"/>
                <w:lang w:val="sr-Cyrl-CS"/>
              </w:rPr>
              <w:t>00</w:t>
            </w:r>
            <w:r w:rsidR="009E4DBD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     </w:t>
            </w:r>
            <w:r w:rsidR="009E2E72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  </w:t>
            </w:r>
            <w:r w:rsidR="009E4DBD">
              <w:rPr>
                <w:rFonts w:ascii="Arial" w:hAnsi="Arial" w:cs="Arial"/>
                <w:b/>
                <w:bCs/>
                <w:sz w:val="22"/>
                <w:lang w:val="sr-Cyrl-CS"/>
              </w:rPr>
              <w:t>100%</w:t>
            </w:r>
          </w:p>
        </w:tc>
      </w:tr>
    </w:tbl>
    <w:p w:rsidR="005A77A9" w:rsidRPr="005A77A9" w:rsidRDefault="005A77A9" w:rsidP="005A77A9">
      <w:pPr>
        <w:jc w:val="both"/>
        <w:rPr>
          <w:rFonts w:ascii="Arial" w:hAnsi="Arial" w:cs="Arial"/>
          <w:i/>
          <w:sz w:val="22"/>
          <w:lang w:val="sr-Cyrl-CS"/>
        </w:rPr>
      </w:pPr>
    </w:p>
    <w:p w:rsidR="00C942DC" w:rsidRDefault="00C942DC" w:rsidP="00C942DC">
      <w:pPr>
        <w:pStyle w:val="Caption"/>
        <w:jc w:val="both"/>
        <w:rPr>
          <w:rFonts w:ascii="Arial" w:hAnsi="Arial" w:cs="Arial"/>
          <w:b w:val="0"/>
          <w:lang w:val="sr-Cyrl-CS"/>
        </w:rPr>
      </w:pPr>
      <w:bookmarkStart w:id="119" w:name="_Toc482180572"/>
      <w:r w:rsidRPr="00C942DC">
        <w:rPr>
          <w:rFonts w:ascii="Arial" w:hAnsi="Arial" w:cs="Arial"/>
          <w:b w:val="0"/>
        </w:rPr>
        <w:t xml:space="preserve">Графикон </w:t>
      </w:r>
      <w:r w:rsidRPr="00C942DC">
        <w:rPr>
          <w:rFonts w:ascii="Arial" w:hAnsi="Arial" w:cs="Arial"/>
          <w:b w:val="0"/>
        </w:rPr>
        <w:fldChar w:fldCharType="begin"/>
      </w:r>
      <w:r w:rsidRPr="00C942DC">
        <w:rPr>
          <w:rFonts w:ascii="Arial" w:hAnsi="Arial" w:cs="Arial"/>
          <w:b w:val="0"/>
        </w:rPr>
        <w:instrText xml:space="preserve"> SEQ Графикон \* ARABIC </w:instrText>
      </w:r>
      <w:r w:rsidRPr="00C942DC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2</w:t>
      </w:r>
      <w:r w:rsidRPr="00C942DC">
        <w:rPr>
          <w:rFonts w:ascii="Arial" w:hAnsi="Arial" w:cs="Arial"/>
          <w:b w:val="0"/>
        </w:rPr>
        <w:fldChar w:fldCharType="end"/>
      </w:r>
      <w:r w:rsidRPr="00C942DC">
        <w:rPr>
          <w:rFonts w:ascii="Arial" w:hAnsi="Arial" w:cs="Arial"/>
          <w:b w:val="0"/>
          <w:lang w:val="sr-Cyrl-CS"/>
        </w:rPr>
        <w:t xml:space="preserve"> Структура укупних прихода</w:t>
      </w:r>
      <w:bookmarkEnd w:id="119"/>
    </w:p>
    <w:p w:rsidR="00C942DC" w:rsidRPr="00C942DC" w:rsidRDefault="00C942DC" w:rsidP="00C942DC">
      <w:pPr>
        <w:rPr>
          <w:lang w:val="sr-Cyrl-CS"/>
        </w:rPr>
      </w:pPr>
    </w:p>
    <w:p w:rsidR="00C969CC" w:rsidRPr="00C969CC" w:rsidRDefault="00C942DC" w:rsidP="0017143B">
      <w:pPr>
        <w:ind w:left="540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642D364D" wp14:editId="358910A6">
            <wp:extent cx="5553075" cy="27717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A77A9" w:rsidRPr="005A77A9">
        <w:rPr>
          <w:rFonts w:ascii="Arial" w:hAnsi="Arial" w:cs="Arial"/>
          <w:sz w:val="22"/>
          <w:lang w:val="sr-Cyrl-CS"/>
        </w:rPr>
        <w:br w:type="page"/>
      </w:r>
    </w:p>
    <w:p w:rsidR="005A77A9" w:rsidRPr="00475072" w:rsidRDefault="00B10AE9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120" w:name="_Toc481062260"/>
      <w:bookmarkStart w:id="121" w:name="_Toc505000333"/>
      <w:bookmarkStart w:id="122" w:name="_Toc505001148"/>
      <w:bookmarkStart w:id="123" w:name="_Toc505146393"/>
      <w:bookmarkStart w:id="124" w:name="_Toc506293271"/>
      <w:bookmarkStart w:id="125" w:name="_Toc506293305"/>
      <w:bookmarkStart w:id="126" w:name="_Toc506293434"/>
      <w:bookmarkStart w:id="127" w:name="_Toc34731953"/>
      <w:r>
        <w:rPr>
          <w:rFonts w:ascii="Arial" w:hAnsi="Arial" w:cs="Arial"/>
          <w:sz w:val="22"/>
          <w:szCs w:val="22"/>
          <w:u w:val="single"/>
        </w:rPr>
        <w:lastRenderedPageBreak/>
        <w:t>Структура укупних расхода за 20</w:t>
      </w:r>
      <w:r>
        <w:rPr>
          <w:rFonts w:ascii="Arial" w:hAnsi="Arial" w:cs="Arial"/>
          <w:sz w:val="22"/>
          <w:szCs w:val="22"/>
          <w:u w:val="single"/>
          <w:lang w:val="sr-Latn-BA"/>
        </w:rPr>
        <w:t>20</w:t>
      </w:r>
      <w:r w:rsidR="00C969CC" w:rsidRPr="00475072">
        <w:rPr>
          <w:rFonts w:ascii="Arial" w:hAnsi="Arial" w:cs="Arial"/>
          <w:sz w:val="22"/>
          <w:szCs w:val="22"/>
          <w:u w:val="single"/>
        </w:rPr>
        <w:t xml:space="preserve">. </w:t>
      </w:r>
      <w:r w:rsidR="002D7CD7">
        <w:rPr>
          <w:rFonts w:ascii="Arial" w:hAnsi="Arial" w:cs="Arial"/>
          <w:sz w:val="22"/>
          <w:szCs w:val="22"/>
          <w:u w:val="single"/>
        </w:rPr>
        <w:t>г</w:t>
      </w:r>
      <w:r w:rsidR="00C969CC" w:rsidRPr="00475072">
        <w:rPr>
          <w:rFonts w:ascii="Arial" w:hAnsi="Arial" w:cs="Arial"/>
          <w:sz w:val="22"/>
          <w:szCs w:val="22"/>
          <w:u w:val="single"/>
        </w:rPr>
        <w:t>одину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C969CC" w:rsidRDefault="00C969CC" w:rsidP="00C969CC">
      <w:pPr>
        <w:pStyle w:val="ListParagraph"/>
        <w:jc w:val="both"/>
        <w:rPr>
          <w:rFonts w:ascii="Arial" w:hAnsi="Arial" w:cs="Arial"/>
          <w:sz w:val="22"/>
          <w:szCs w:val="22"/>
          <w:u w:val="single"/>
          <w:lang w:val="sr-Cyrl-BA"/>
        </w:rPr>
      </w:pPr>
    </w:p>
    <w:p w:rsidR="00F2066C" w:rsidRPr="00F2066C" w:rsidRDefault="00F2066C" w:rsidP="00F2066C">
      <w:pPr>
        <w:pStyle w:val="Caption"/>
        <w:rPr>
          <w:b w:val="0"/>
          <w:lang w:val="sr-Cyrl-BA"/>
        </w:rPr>
      </w:pPr>
      <w:bookmarkStart w:id="128" w:name="_Toc482180883"/>
      <w:bookmarkStart w:id="129" w:name="_Toc33694931"/>
      <w:proofErr w:type="gramStart"/>
      <w:r>
        <w:t xml:space="preserve">Табела </w:t>
      </w:r>
      <w:proofErr w:type="gramEnd"/>
      <w:r>
        <w:fldChar w:fldCharType="begin"/>
      </w:r>
      <w:r>
        <w:instrText xml:space="preserve"> SEQ Табела \* ARABIC </w:instrText>
      </w:r>
      <w:r>
        <w:fldChar w:fldCharType="separate"/>
      </w:r>
      <w:r w:rsidR="008D5749">
        <w:rPr>
          <w:noProof/>
        </w:rPr>
        <w:t>8</w:t>
      </w:r>
      <w:r>
        <w:fldChar w:fldCharType="end"/>
      </w:r>
      <w:proofErr w:type="gramStart"/>
      <w:r>
        <w:rPr>
          <w:lang w:val="sr-Cyrl-BA"/>
        </w:rPr>
        <w:t xml:space="preserve"> </w:t>
      </w:r>
      <w:r w:rsidRPr="00F2066C">
        <w:rPr>
          <w:b w:val="0"/>
          <w:lang w:val="sr-Cyrl-BA"/>
        </w:rPr>
        <w:t>Струк</w:t>
      </w:r>
      <w:r w:rsidR="009E2E72">
        <w:rPr>
          <w:b w:val="0"/>
          <w:lang w:val="sr-Cyrl-BA"/>
        </w:rPr>
        <w:t>тура укупних расхода за 2020</w:t>
      </w:r>
      <w:r w:rsidRPr="00F2066C">
        <w:rPr>
          <w:b w:val="0"/>
          <w:lang w:val="sr-Cyrl-BA"/>
        </w:rPr>
        <w:t>.</w:t>
      </w:r>
      <w:proofErr w:type="gramEnd"/>
      <w:r w:rsidRPr="00F2066C">
        <w:rPr>
          <w:b w:val="0"/>
          <w:lang w:val="sr-Cyrl-BA"/>
        </w:rPr>
        <w:t xml:space="preserve"> </w:t>
      </w:r>
      <w:r w:rsidR="002D7CD7">
        <w:rPr>
          <w:b w:val="0"/>
          <w:lang w:val="sr-Cyrl-BA"/>
        </w:rPr>
        <w:t>г</w:t>
      </w:r>
      <w:r w:rsidRPr="00F2066C">
        <w:rPr>
          <w:b w:val="0"/>
          <w:lang w:val="sr-Cyrl-BA"/>
        </w:rPr>
        <w:t>одину</w:t>
      </w:r>
      <w:bookmarkEnd w:id="128"/>
      <w:bookmarkEnd w:id="129"/>
    </w:p>
    <w:p w:rsidR="00F2066C" w:rsidRPr="00F2066C" w:rsidRDefault="009E2E72" w:rsidP="00F2066C">
      <w:pPr>
        <w:rPr>
          <w:lang w:val="sr-Cyrl-BA"/>
        </w:rPr>
      </w:pPr>
      <w:r w:rsidRPr="009E2E72">
        <w:rPr>
          <w:noProof/>
          <w:lang w:val="sr-Latn-BA" w:eastAsia="sr-Latn-BA"/>
        </w:rPr>
        <w:drawing>
          <wp:inline distT="0" distB="0" distL="0" distR="0" wp14:anchorId="26E1BAA5" wp14:editId="3CC2027D">
            <wp:extent cx="5886450" cy="782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01" w:rsidRPr="00AC5F7F" w:rsidRDefault="000E6101" w:rsidP="005A77A9">
      <w:pPr>
        <w:jc w:val="both"/>
        <w:rPr>
          <w:rFonts w:ascii="Arial" w:hAnsi="Arial" w:cs="Arial"/>
          <w:sz w:val="18"/>
          <w:szCs w:val="18"/>
          <w:lang w:val="sr-Cyrl-RS"/>
        </w:rPr>
      </w:pPr>
    </w:p>
    <w:p w:rsidR="00C969CC" w:rsidRDefault="00C969CC" w:rsidP="005A77A9">
      <w:pPr>
        <w:jc w:val="both"/>
        <w:rPr>
          <w:rFonts w:ascii="Arial" w:hAnsi="Arial" w:cs="Arial"/>
          <w:sz w:val="22"/>
          <w:lang w:val="sr-Cyrl-CS"/>
        </w:rPr>
      </w:pPr>
    </w:p>
    <w:p w:rsidR="00C969CC" w:rsidRDefault="00C969CC" w:rsidP="005A77A9">
      <w:pPr>
        <w:jc w:val="both"/>
        <w:rPr>
          <w:rFonts w:ascii="Arial" w:hAnsi="Arial" w:cs="Arial"/>
          <w:sz w:val="22"/>
          <w:lang w:val="sr-Cyrl-CS"/>
        </w:rPr>
      </w:pPr>
    </w:p>
    <w:p w:rsidR="00BF0C15" w:rsidRDefault="00BF0C15" w:rsidP="005A77A9">
      <w:pPr>
        <w:jc w:val="both"/>
        <w:rPr>
          <w:rFonts w:ascii="Arial" w:hAnsi="Arial" w:cs="Arial"/>
          <w:sz w:val="22"/>
          <w:lang w:val="sr-Cyrl-CS"/>
        </w:rPr>
      </w:pPr>
    </w:p>
    <w:p w:rsidR="00BF0C15" w:rsidRDefault="00BF0C15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Укупни трошкови предузећа </w:t>
      </w:r>
      <w:r w:rsidRPr="005A77A9">
        <w:rPr>
          <w:rFonts w:ascii="Arial" w:hAnsi="Arial" w:cs="Arial"/>
          <w:sz w:val="22"/>
        </w:rPr>
        <w:t xml:space="preserve">према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лану</w:t>
      </w:r>
      <w:r w:rsidRPr="005A77A9">
        <w:rPr>
          <w:rFonts w:ascii="Arial" w:hAnsi="Arial" w:cs="Arial"/>
          <w:sz w:val="22"/>
        </w:rPr>
        <w:t xml:space="preserve"> пословања за</w:t>
      </w:r>
      <w:r w:rsidRPr="005A77A9">
        <w:rPr>
          <w:rFonts w:ascii="Arial" w:hAnsi="Arial" w:cs="Arial"/>
          <w:sz w:val="22"/>
          <w:lang w:val="sr-Cyrl-CS"/>
        </w:rPr>
        <w:t xml:space="preserve"> 20</w:t>
      </w:r>
      <w:r w:rsidR="003F7307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CS"/>
        </w:rPr>
        <w:t>. годин</w:t>
      </w:r>
      <w:r w:rsidRPr="005A77A9">
        <w:rPr>
          <w:rFonts w:ascii="Arial" w:hAnsi="Arial" w:cs="Arial"/>
          <w:sz w:val="22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су </w:t>
      </w:r>
      <w:r w:rsidR="003F7307">
        <w:rPr>
          <w:rFonts w:ascii="Arial" w:hAnsi="Arial" w:cs="Arial"/>
          <w:sz w:val="22"/>
          <w:lang w:val="sr-Cyrl-CS"/>
        </w:rPr>
        <w:t>84,95</w:t>
      </w:r>
      <w:r w:rsidR="00F52268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мил. КМ. Трошкови пословања планирани су на бази важећег контног плана и у складу са постојећом билансном шемом.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Планиране величине су следеће: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sz w:val="22"/>
          <w:szCs w:val="28"/>
          <w:lang w:val="sr-Cyrl-CS"/>
        </w:rPr>
        <w:t>ПОСЛОВНИ РАСХОДИ</w:t>
      </w:r>
    </w:p>
    <w:p w:rsidR="005A77A9" w:rsidRPr="005A77A9" w:rsidRDefault="005A77A9" w:rsidP="005A77A9">
      <w:pPr>
        <w:ind w:left="540"/>
        <w:jc w:val="both"/>
        <w:rPr>
          <w:rFonts w:ascii="Arial" w:hAnsi="Arial" w:cs="Arial"/>
          <w:sz w:val="22"/>
          <w:lang w:val="sr-Cyrl-CS"/>
        </w:rPr>
      </w:pPr>
    </w:p>
    <w:p w:rsidR="00BF0C15" w:rsidRPr="00BF0C15" w:rsidRDefault="005A77A9" w:rsidP="006B0AA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BF0C15">
        <w:rPr>
          <w:rFonts w:ascii="Arial" w:hAnsi="Arial" w:cs="Arial"/>
          <w:b/>
          <w:sz w:val="22"/>
          <w:lang w:val="sr-Cyrl-CS"/>
        </w:rPr>
        <w:t xml:space="preserve">Трошкови материјала за израду и Трошкови осталог материјала </w:t>
      </w:r>
      <w:r w:rsidRPr="00BF0C15">
        <w:rPr>
          <w:rFonts w:ascii="Arial" w:hAnsi="Arial" w:cs="Arial"/>
          <w:bCs/>
          <w:sz w:val="22"/>
          <w:lang w:val="sr-Cyrl-CS"/>
        </w:rPr>
        <w:t>планирани су</w:t>
      </w:r>
      <w:r w:rsidRPr="00BF0C15">
        <w:rPr>
          <w:rFonts w:ascii="Arial" w:hAnsi="Arial" w:cs="Arial"/>
          <w:sz w:val="22"/>
          <w:lang w:val="sr-Cyrl-CS"/>
        </w:rPr>
        <w:t xml:space="preserve"> на основу Плана инвестиција, односно Плана набавки материјала за редовно и инвестиционо одржавање. План инвестиција </w:t>
      </w:r>
      <w:r w:rsidR="003F7307">
        <w:rPr>
          <w:rFonts w:ascii="Arial" w:hAnsi="Arial" w:cs="Arial"/>
          <w:sz w:val="22"/>
        </w:rPr>
        <w:t>за 20</w:t>
      </w:r>
      <w:r w:rsidR="003F7307">
        <w:rPr>
          <w:rFonts w:ascii="Arial" w:hAnsi="Arial" w:cs="Arial"/>
          <w:sz w:val="22"/>
          <w:lang w:val="sr-Cyrl-BA"/>
        </w:rPr>
        <w:t>20</w:t>
      </w:r>
      <w:r w:rsidRPr="00BF0C15">
        <w:rPr>
          <w:rFonts w:ascii="Arial" w:hAnsi="Arial" w:cs="Arial"/>
          <w:sz w:val="22"/>
        </w:rPr>
        <w:t xml:space="preserve">. </w:t>
      </w:r>
      <w:proofErr w:type="gramStart"/>
      <w:r w:rsidRPr="00BF0C15">
        <w:rPr>
          <w:rFonts w:ascii="Arial" w:hAnsi="Arial" w:cs="Arial"/>
          <w:sz w:val="22"/>
        </w:rPr>
        <w:t>годину</w:t>
      </w:r>
      <w:proofErr w:type="gramEnd"/>
      <w:r w:rsidRPr="00BF0C15">
        <w:rPr>
          <w:rFonts w:ascii="Arial" w:hAnsi="Arial" w:cs="Arial"/>
          <w:sz w:val="22"/>
        </w:rPr>
        <w:t xml:space="preserve"> </w:t>
      </w:r>
      <w:r w:rsidRPr="00BF0C15">
        <w:rPr>
          <w:rFonts w:ascii="Arial" w:hAnsi="Arial" w:cs="Arial"/>
          <w:sz w:val="22"/>
          <w:lang w:val="sr-Cyrl-CS"/>
        </w:rPr>
        <w:t>нал</w:t>
      </w:r>
      <w:r w:rsidR="00BF0C15" w:rsidRPr="00BF0C15">
        <w:rPr>
          <w:rFonts w:ascii="Arial" w:hAnsi="Arial" w:cs="Arial"/>
          <w:sz w:val="22"/>
          <w:lang w:val="sr-Cyrl-CS"/>
        </w:rPr>
        <w:t>ази се у прилогу овог документа.</w:t>
      </w:r>
    </w:p>
    <w:p w:rsidR="00BF0C15" w:rsidRPr="00BF0C15" w:rsidRDefault="00BF0C15" w:rsidP="0050547F">
      <w:pPr>
        <w:ind w:left="360"/>
        <w:rPr>
          <w:rFonts w:ascii="Arial" w:hAnsi="Arial" w:cs="Arial"/>
          <w:b/>
          <w:sz w:val="22"/>
          <w:lang w:val="sr-Cyrl-CS"/>
        </w:rPr>
      </w:pPr>
    </w:p>
    <w:p w:rsidR="005A77A9" w:rsidRPr="005A77A9" w:rsidRDefault="005A77A9" w:rsidP="00981F2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>Трошкови горива</w:t>
      </w:r>
      <w:r w:rsidRPr="005A77A9">
        <w:rPr>
          <w:rFonts w:ascii="Arial" w:hAnsi="Arial" w:cs="Arial"/>
          <w:sz w:val="22"/>
          <w:lang w:val="sr-Cyrl-CS"/>
        </w:rPr>
        <w:t xml:space="preserve"> планирани су према </w:t>
      </w:r>
      <w:r w:rsidR="0030068A">
        <w:rPr>
          <w:rFonts w:ascii="Arial" w:hAnsi="Arial" w:cs="Arial"/>
          <w:sz w:val="22"/>
          <w:lang w:val="sr-Cyrl-CS"/>
        </w:rPr>
        <w:t>Смјерницама по цијени од 2,27</w:t>
      </w:r>
      <w:r w:rsidR="00BF0C15">
        <w:rPr>
          <w:rFonts w:ascii="Arial" w:hAnsi="Arial" w:cs="Arial"/>
          <w:sz w:val="22"/>
          <w:lang w:val="sr-Cyrl-CS"/>
        </w:rPr>
        <w:t xml:space="preserve"> КМ/литру за дизел и</w:t>
      </w:r>
      <w:r w:rsidR="0029670E">
        <w:rPr>
          <w:rFonts w:ascii="Arial" w:hAnsi="Arial" w:cs="Arial"/>
          <w:sz w:val="22"/>
          <w:lang w:val="sr-Latn-BA"/>
        </w:rPr>
        <w:t xml:space="preserve"> 2</w:t>
      </w:r>
      <w:r w:rsidR="0030068A">
        <w:rPr>
          <w:rFonts w:ascii="Arial" w:hAnsi="Arial" w:cs="Arial"/>
          <w:sz w:val="22"/>
          <w:lang w:val="sr-Latn-BA"/>
        </w:rPr>
        <w:t>,</w:t>
      </w:r>
      <w:r w:rsidR="0030068A">
        <w:rPr>
          <w:rFonts w:ascii="Arial" w:hAnsi="Arial" w:cs="Arial"/>
          <w:sz w:val="22"/>
          <w:lang w:val="sr-Cyrl-BA"/>
        </w:rPr>
        <w:t>46</w:t>
      </w:r>
      <w:r w:rsidR="0029670E">
        <w:rPr>
          <w:rFonts w:ascii="Arial" w:hAnsi="Arial" w:cs="Arial"/>
          <w:sz w:val="22"/>
          <w:lang w:val="sr-Latn-BA"/>
        </w:rPr>
        <w:t xml:space="preserve"> KM/литру за </w:t>
      </w:r>
      <w:r w:rsidR="00BF0C15">
        <w:rPr>
          <w:rFonts w:ascii="Arial" w:hAnsi="Arial" w:cs="Arial"/>
          <w:sz w:val="22"/>
          <w:lang w:val="sr-Cyrl-CS"/>
        </w:rPr>
        <w:t xml:space="preserve"> </w:t>
      </w:r>
      <w:r w:rsidR="0030068A">
        <w:rPr>
          <w:rFonts w:ascii="Arial" w:hAnsi="Arial" w:cs="Arial"/>
          <w:sz w:val="22"/>
          <w:lang w:val="sr-Cyrl-CS"/>
        </w:rPr>
        <w:t xml:space="preserve">НБ-98 </w:t>
      </w:r>
      <w:r w:rsidR="00BF0C15">
        <w:rPr>
          <w:rFonts w:ascii="Arial" w:hAnsi="Arial" w:cs="Arial"/>
          <w:sz w:val="22"/>
          <w:lang w:val="sr-Cyrl-CS"/>
        </w:rPr>
        <w:t>бензин</w:t>
      </w:r>
      <w:r w:rsidR="0030068A">
        <w:rPr>
          <w:rFonts w:ascii="Arial" w:hAnsi="Arial" w:cs="Arial"/>
          <w:sz w:val="22"/>
          <w:lang w:val="sr-Cyrl-CS"/>
        </w:rPr>
        <w:t xml:space="preserve"> и 2,32 КМ/литру за БМБ-95 бензин</w:t>
      </w:r>
      <w:r w:rsidR="00BF0C15">
        <w:rPr>
          <w:rFonts w:ascii="Arial" w:hAnsi="Arial" w:cs="Arial"/>
          <w:sz w:val="22"/>
          <w:lang w:val="sr-Cyrl-CS"/>
        </w:rPr>
        <w:t xml:space="preserve">, док су количине горива планиране према нормативима и потрошњи </w:t>
      </w:r>
      <w:r w:rsidRPr="005A77A9">
        <w:rPr>
          <w:rFonts w:ascii="Arial" w:hAnsi="Arial" w:cs="Arial"/>
          <w:sz w:val="22"/>
          <w:lang w:val="sr-Cyrl-CS"/>
        </w:rPr>
        <w:t>из ранијих периода</w:t>
      </w:r>
      <w:r w:rsidR="00BF0C15">
        <w:rPr>
          <w:rFonts w:ascii="Arial" w:hAnsi="Arial" w:cs="Arial"/>
          <w:sz w:val="22"/>
          <w:lang w:val="sr-Cyrl-CS"/>
        </w:rPr>
        <w:t>.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</w:p>
    <w:p w:rsidR="005A77A9" w:rsidRPr="005A77A9" w:rsidRDefault="005A77A9" w:rsidP="0050547F">
      <w:pPr>
        <w:rPr>
          <w:rFonts w:ascii="Arial" w:hAnsi="Arial" w:cs="Arial"/>
          <w:b/>
          <w:sz w:val="22"/>
          <w:lang w:val="sr-Cyrl-CS"/>
        </w:rPr>
      </w:pPr>
    </w:p>
    <w:p w:rsidR="00BF0C15" w:rsidRPr="00BF0C15" w:rsidRDefault="005A77A9" w:rsidP="00981F2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 xml:space="preserve">Трошкови енергије </w:t>
      </w:r>
      <w:r w:rsidR="0030068A">
        <w:rPr>
          <w:rFonts w:ascii="Arial" w:hAnsi="Arial" w:cs="Arial"/>
          <w:sz w:val="22"/>
          <w:lang w:val="sr-Cyrl-CS"/>
        </w:rPr>
        <w:t>планирани су на основу нето</w:t>
      </w:r>
      <w:r w:rsidRPr="005A77A9">
        <w:rPr>
          <w:rFonts w:ascii="Arial" w:hAnsi="Arial" w:cs="Arial"/>
          <w:sz w:val="22"/>
          <w:lang w:val="sr-Cyrl-CS"/>
        </w:rPr>
        <w:t xml:space="preserve"> дистрибутивне потрошње која  у 20</w:t>
      </w:r>
      <w:r w:rsidR="0030068A">
        <w:rPr>
          <w:rFonts w:ascii="Arial" w:hAnsi="Arial" w:cs="Arial"/>
          <w:sz w:val="22"/>
          <w:lang w:val="sr-Cyrl-CS"/>
        </w:rPr>
        <w:t>20</w:t>
      </w:r>
      <w:r w:rsidRPr="005A77A9">
        <w:rPr>
          <w:rFonts w:ascii="Arial" w:hAnsi="Arial" w:cs="Arial"/>
          <w:sz w:val="22"/>
          <w:lang w:val="sr-Cyrl-CS"/>
        </w:rPr>
        <w:t xml:space="preserve">. години према Електроенергетском билансу износи </w:t>
      </w:r>
      <w:r w:rsidR="0030068A">
        <w:rPr>
          <w:rFonts w:ascii="Arial" w:hAnsi="Arial" w:cs="Arial"/>
          <w:sz w:val="22"/>
          <w:lang w:val="sr-Cyrl-CS"/>
        </w:rPr>
        <w:t xml:space="preserve">430,42 </w:t>
      </w:r>
      <w:r w:rsidRPr="00791F75">
        <w:rPr>
          <w:rFonts w:ascii="Arial" w:hAnsi="Arial" w:cs="Arial"/>
          <w:sz w:val="22"/>
          <w:lang w:val="sr-Latn-CS"/>
        </w:rPr>
        <w:t>GWh</w:t>
      </w:r>
      <w:r w:rsidRPr="00791F75">
        <w:rPr>
          <w:rFonts w:ascii="Arial" w:hAnsi="Arial" w:cs="Arial"/>
          <w:sz w:val="22"/>
          <w:lang w:val="sr-Cyrl-CS"/>
        </w:rPr>
        <w:t xml:space="preserve"> и </w:t>
      </w:r>
      <w:r w:rsidRPr="005A77A9">
        <w:rPr>
          <w:rFonts w:ascii="Arial" w:hAnsi="Arial" w:cs="Arial"/>
          <w:sz w:val="22"/>
          <w:lang w:val="sr-Cyrl-CS"/>
        </w:rPr>
        <w:t>на основу планиран</w:t>
      </w:r>
      <w:r w:rsidRPr="005A77A9">
        <w:rPr>
          <w:rFonts w:ascii="Arial" w:hAnsi="Arial" w:cs="Arial"/>
          <w:sz w:val="22"/>
        </w:rPr>
        <w:t>е</w:t>
      </w:r>
      <w:r w:rsidRPr="005A77A9">
        <w:rPr>
          <w:rFonts w:ascii="Arial" w:hAnsi="Arial" w:cs="Arial"/>
          <w:sz w:val="22"/>
          <w:lang w:val="sr-Cyrl-CS"/>
        </w:rPr>
        <w:t xml:space="preserve"> цијен</w:t>
      </w:r>
      <w:r w:rsidRPr="005A77A9">
        <w:rPr>
          <w:rFonts w:ascii="Arial" w:hAnsi="Arial" w:cs="Arial"/>
          <w:sz w:val="22"/>
        </w:rPr>
        <w:t>е за дистрибуцију.</w:t>
      </w:r>
      <w:r w:rsidR="00BF0C15">
        <w:rPr>
          <w:rFonts w:ascii="Arial" w:hAnsi="Arial" w:cs="Arial"/>
          <w:sz w:val="22"/>
          <w:lang w:val="sr-Cyrl-BA"/>
        </w:rPr>
        <w:t xml:space="preserve"> </w:t>
      </w:r>
      <w:r w:rsidRPr="005A77A9">
        <w:rPr>
          <w:rFonts w:ascii="Arial" w:hAnsi="Arial" w:cs="Arial"/>
          <w:sz w:val="22"/>
        </w:rPr>
        <w:t xml:space="preserve"> </w:t>
      </w:r>
    </w:p>
    <w:p w:rsidR="00BF0C15" w:rsidRDefault="00BF0C15" w:rsidP="0050547F">
      <w:pPr>
        <w:pStyle w:val="ListParagraph"/>
        <w:ind w:left="360"/>
        <w:rPr>
          <w:rFonts w:ascii="Arial" w:hAnsi="Arial" w:cs="Arial"/>
          <w:sz w:val="22"/>
        </w:rPr>
      </w:pPr>
    </w:p>
    <w:p w:rsidR="005A77A9" w:rsidRDefault="005A77A9" w:rsidP="00981F23">
      <w:pPr>
        <w:ind w:left="360"/>
        <w:jc w:val="both"/>
        <w:rPr>
          <w:rFonts w:ascii="Arial" w:hAnsi="Arial" w:cs="Arial"/>
          <w:sz w:val="22"/>
        </w:rPr>
      </w:pPr>
      <w:proofErr w:type="gramStart"/>
      <w:r w:rsidRPr="00BF0C15">
        <w:rPr>
          <w:rFonts w:ascii="Arial" w:hAnsi="Arial" w:cs="Arial"/>
          <w:sz w:val="22"/>
        </w:rPr>
        <w:t>Расход дистрибуције за преузету електричну енергију утврђен је од стране Дирекције за</w:t>
      </w:r>
      <w:r w:rsidR="00BF0C15">
        <w:rPr>
          <w:rFonts w:ascii="Arial" w:hAnsi="Arial" w:cs="Arial"/>
          <w:sz w:val="22"/>
        </w:rPr>
        <w:t xml:space="preserve"> комерцијалне послове МХ ЕРС-а.</w:t>
      </w:r>
      <w:proofErr w:type="gramEnd"/>
      <w:r w:rsidR="00BF0C15">
        <w:rPr>
          <w:rFonts w:ascii="Arial" w:hAnsi="Arial" w:cs="Arial"/>
          <w:sz w:val="22"/>
        </w:rPr>
        <w:t xml:space="preserve"> </w:t>
      </w:r>
    </w:p>
    <w:p w:rsidR="00BF0C15" w:rsidRDefault="00BF0C15" w:rsidP="0050547F">
      <w:pPr>
        <w:ind w:left="360"/>
        <w:rPr>
          <w:rFonts w:ascii="Arial" w:hAnsi="Arial" w:cs="Arial"/>
          <w:sz w:val="22"/>
        </w:rPr>
      </w:pPr>
    </w:p>
    <w:p w:rsidR="00981F23" w:rsidRPr="0050547F" w:rsidRDefault="0050547F" w:rsidP="00981F23">
      <w:pPr>
        <w:ind w:left="360"/>
        <w:jc w:val="both"/>
        <w:rPr>
          <w:rFonts w:ascii="Arial" w:hAnsi="Arial" w:cs="Arial"/>
          <w:sz w:val="22"/>
          <w:lang w:val="sr-Cyrl-BA"/>
        </w:rPr>
      </w:pPr>
      <w:r>
        <w:rPr>
          <w:rFonts w:ascii="Arial" w:hAnsi="Arial" w:cs="Arial"/>
          <w:sz w:val="22"/>
          <w:lang w:val="sr-Cyrl-BA"/>
        </w:rPr>
        <w:t xml:space="preserve">Просјечна планирана цијена по којој ЗЕДП ''Електро-Бијељина'' а.д. Бијељина преузима електричну </w:t>
      </w:r>
      <w:r w:rsidRPr="0029670E">
        <w:rPr>
          <w:rFonts w:ascii="Arial" w:hAnsi="Arial" w:cs="Arial"/>
          <w:sz w:val="22"/>
          <w:lang w:val="sr-Cyrl-BA"/>
        </w:rPr>
        <w:t xml:space="preserve">енергију је </w:t>
      </w:r>
      <w:r w:rsidR="0030068A">
        <w:rPr>
          <w:rFonts w:ascii="Arial" w:hAnsi="Arial" w:cs="Arial"/>
          <w:sz w:val="22"/>
          <w:lang w:val="sr-Cyrl-BA"/>
        </w:rPr>
        <w:t>6,9214</w:t>
      </w:r>
      <w:r w:rsidRPr="0029670E">
        <w:rPr>
          <w:rFonts w:ascii="Arial" w:hAnsi="Arial" w:cs="Arial"/>
          <w:sz w:val="22"/>
          <w:lang w:val="sr-Cyrl-BA"/>
        </w:rPr>
        <w:t xml:space="preserve"> </w:t>
      </w:r>
      <w:r w:rsidRPr="0029670E">
        <w:rPr>
          <w:rFonts w:ascii="Arial" w:hAnsi="Arial" w:cs="Arial"/>
          <w:sz w:val="22"/>
          <w:lang w:val="sr-Latn-BA"/>
        </w:rPr>
        <w:t>pf/kWh</w:t>
      </w:r>
      <w:r w:rsidRPr="0029670E">
        <w:rPr>
          <w:rFonts w:ascii="Arial" w:hAnsi="Arial" w:cs="Arial"/>
          <w:sz w:val="22"/>
          <w:lang w:val="sr-Cyrl-BA"/>
        </w:rPr>
        <w:t>.</w:t>
      </w:r>
    </w:p>
    <w:p w:rsidR="0050547F" w:rsidRPr="0050547F" w:rsidRDefault="0050547F" w:rsidP="0050547F">
      <w:pPr>
        <w:ind w:left="360"/>
        <w:rPr>
          <w:rFonts w:ascii="Arial" w:hAnsi="Arial" w:cs="Arial"/>
          <w:sz w:val="22"/>
          <w:lang w:val="sr-Cyrl-BA"/>
        </w:rPr>
      </w:pPr>
    </w:p>
    <w:p w:rsidR="00CC51C6" w:rsidRPr="0030068A" w:rsidRDefault="005A77A9" w:rsidP="0050547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30068A">
        <w:rPr>
          <w:rFonts w:ascii="Arial" w:hAnsi="Arial" w:cs="Arial"/>
          <w:b/>
          <w:sz w:val="22"/>
          <w:lang w:val="sr-Cyrl-CS"/>
        </w:rPr>
        <w:t xml:space="preserve">Трошкови зарада, накнада зарада и остали лични расходи </w:t>
      </w:r>
      <w:r w:rsidRPr="0030068A">
        <w:rPr>
          <w:rFonts w:ascii="Arial" w:hAnsi="Arial" w:cs="Arial"/>
          <w:sz w:val="22"/>
          <w:lang w:val="sr-Cyrl-CS"/>
        </w:rPr>
        <w:t>планирани су према Смјерницама ЕРС-а</w:t>
      </w:r>
      <w:r w:rsidR="009E1EF7" w:rsidRPr="0030068A">
        <w:rPr>
          <w:rFonts w:ascii="Arial" w:hAnsi="Arial" w:cs="Arial"/>
          <w:sz w:val="22"/>
          <w:lang w:val="sr-Latn-BA"/>
        </w:rPr>
        <w:t xml:space="preserve">, </w:t>
      </w:r>
      <w:r w:rsidR="009E1EF7" w:rsidRPr="0030068A">
        <w:rPr>
          <w:rFonts w:ascii="Arial" w:hAnsi="Arial" w:cs="Arial"/>
          <w:sz w:val="22"/>
          <w:lang w:val="sr-Cyrl-BA"/>
        </w:rPr>
        <w:t>на бази цијене рада од 140 КМ</w:t>
      </w:r>
      <w:r w:rsidR="0030068A" w:rsidRPr="0030068A">
        <w:rPr>
          <w:rFonts w:ascii="Arial" w:hAnsi="Arial" w:cs="Arial"/>
          <w:sz w:val="22"/>
          <w:lang w:val="sr-Latn-BA"/>
        </w:rPr>
        <w:t>.</w:t>
      </w:r>
      <w:r w:rsidR="0030068A" w:rsidRPr="0030068A">
        <w:rPr>
          <w:rFonts w:ascii="Arial" w:hAnsi="Arial" w:cs="Arial"/>
          <w:sz w:val="22"/>
          <w:lang w:val="sr-Cyrl-RS"/>
        </w:rPr>
        <w:t xml:space="preserve"> </w:t>
      </w:r>
      <w:r w:rsidR="0030068A" w:rsidRPr="0030068A">
        <w:rPr>
          <w:rFonts w:ascii="Arial" w:hAnsi="Arial" w:cs="Arial"/>
          <w:sz w:val="22"/>
          <w:lang w:val="sr-Cyrl-BA"/>
        </w:rPr>
        <w:t>Р</w:t>
      </w:r>
      <w:r w:rsidR="0050547F" w:rsidRPr="0030068A">
        <w:rPr>
          <w:rFonts w:ascii="Arial" w:hAnsi="Arial" w:cs="Arial"/>
          <w:sz w:val="22"/>
          <w:lang w:val="sr-Cyrl-RS"/>
        </w:rPr>
        <w:t>егрес</w:t>
      </w:r>
      <w:r w:rsidR="0030068A" w:rsidRPr="0030068A">
        <w:rPr>
          <w:rFonts w:ascii="Arial" w:hAnsi="Arial" w:cs="Arial"/>
          <w:sz w:val="22"/>
          <w:lang w:val="sr-Cyrl-RS"/>
        </w:rPr>
        <w:t xml:space="preserve"> је</w:t>
      </w:r>
      <w:r w:rsidR="0050547F" w:rsidRPr="0030068A">
        <w:rPr>
          <w:rFonts w:ascii="Arial" w:hAnsi="Arial" w:cs="Arial"/>
          <w:sz w:val="22"/>
          <w:lang w:val="sr-Cyrl-RS"/>
        </w:rPr>
        <w:t xml:space="preserve"> планиран у износу од </w:t>
      </w:r>
      <w:r w:rsidR="0030068A" w:rsidRPr="0030068A">
        <w:rPr>
          <w:rFonts w:ascii="Arial" w:hAnsi="Arial" w:cs="Arial"/>
          <w:sz w:val="22"/>
          <w:lang w:val="sr-Cyrl-BA"/>
        </w:rPr>
        <w:t>920</w:t>
      </w:r>
      <w:r w:rsidR="00F52268" w:rsidRPr="0030068A">
        <w:rPr>
          <w:rFonts w:ascii="Arial" w:hAnsi="Arial" w:cs="Arial"/>
          <w:sz w:val="22"/>
          <w:lang w:val="sr-Cyrl-RS"/>
        </w:rPr>
        <w:t>,00 КМ.</w:t>
      </w:r>
      <w:r w:rsidR="0030068A" w:rsidRPr="0030068A">
        <w:rPr>
          <w:rFonts w:ascii="Arial" w:hAnsi="Arial" w:cs="Arial"/>
          <w:sz w:val="22"/>
          <w:lang w:val="sr-Cyrl-RS"/>
        </w:rPr>
        <w:t xml:space="preserve"> </w:t>
      </w:r>
    </w:p>
    <w:p w:rsidR="0030068A" w:rsidRPr="0030068A" w:rsidRDefault="005A77A9" w:rsidP="0030068A">
      <w:pPr>
        <w:ind w:left="360"/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Остали лични расходи (отпремнине, јубиларне награде, стимулативне отпремнине и др.) планирани су у складу са </w:t>
      </w:r>
      <w:r w:rsidR="0050547F">
        <w:rPr>
          <w:rFonts w:ascii="Arial" w:hAnsi="Arial" w:cs="Arial"/>
          <w:sz w:val="22"/>
          <w:lang w:val="sr-Cyrl-CS"/>
        </w:rPr>
        <w:t xml:space="preserve">важећим </w:t>
      </w:r>
      <w:r w:rsidRPr="005A77A9">
        <w:rPr>
          <w:rFonts w:ascii="Arial" w:hAnsi="Arial" w:cs="Arial"/>
          <w:sz w:val="22"/>
          <w:lang w:val="sr-Cyrl-CS"/>
        </w:rPr>
        <w:t xml:space="preserve">Колективним уговором, и на бази остварене просјечне плате. </w:t>
      </w:r>
      <w:r w:rsidR="0030068A">
        <w:rPr>
          <w:rFonts w:ascii="Arial" w:hAnsi="Arial" w:cs="Arial"/>
          <w:sz w:val="22"/>
          <w:lang w:val="sr-Cyrl-RS"/>
        </w:rPr>
        <w:t>С</w:t>
      </w:r>
      <w:r w:rsidR="0030068A" w:rsidRPr="0030068A">
        <w:rPr>
          <w:rFonts w:ascii="Arial" w:hAnsi="Arial" w:cs="Arial"/>
          <w:sz w:val="22"/>
          <w:lang w:val="sr-Cyrl-RS"/>
        </w:rPr>
        <w:t>редства за рјешавање социјално</w:t>
      </w:r>
      <w:r w:rsidR="0030068A">
        <w:rPr>
          <w:rFonts w:ascii="Arial" w:hAnsi="Arial" w:cs="Arial"/>
          <w:sz w:val="22"/>
          <w:lang w:val="sr-Cyrl-RS"/>
        </w:rPr>
        <w:t xml:space="preserve">-економског положаја запослених, односно стимулативен отпремнине су планиране </w:t>
      </w:r>
      <w:r w:rsidR="0030068A" w:rsidRPr="0030068A">
        <w:rPr>
          <w:rFonts w:ascii="Arial" w:hAnsi="Arial" w:cs="Arial"/>
          <w:sz w:val="22"/>
          <w:lang w:val="sr-Cyrl-RS"/>
        </w:rPr>
        <w:t>у износу од 7,4 мил. КМ.</w:t>
      </w:r>
    </w:p>
    <w:p w:rsidR="005A77A9" w:rsidRPr="005A77A9" w:rsidRDefault="005A77A9" w:rsidP="00722CAB">
      <w:pPr>
        <w:ind w:left="360"/>
        <w:jc w:val="both"/>
        <w:rPr>
          <w:rFonts w:ascii="Arial" w:hAnsi="Arial" w:cs="Arial"/>
          <w:sz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b/>
          <w:sz w:val="22"/>
          <w:lang w:val="sr-Cyrl-CS"/>
        </w:rPr>
      </w:pPr>
    </w:p>
    <w:p w:rsidR="005A77A9" w:rsidRPr="005A77A9" w:rsidRDefault="005A77A9" w:rsidP="0046227E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>Трошкови производних услуга</w:t>
      </w:r>
      <w:r w:rsidRPr="005A77A9">
        <w:rPr>
          <w:rFonts w:ascii="Arial" w:hAnsi="Arial" w:cs="Arial"/>
          <w:sz w:val="22"/>
          <w:lang w:val="sr-Cyrl-CS"/>
        </w:rPr>
        <w:t xml:space="preserve"> (ПТТ и транспортне услуге, текуће одржавање објеката, опреме, возила, инвестиционо одржавање објеката, закупнине, сајмови, огласи, комуналне услуге, заштита на раду) процјењени су на бази</w:t>
      </w:r>
      <w:r w:rsidRPr="005A77A9">
        <w:rPr>
          <w:rFonts w:ascii="Arial" w:hAnsi="Arial" w:cs="Arial"/>
          <w:sz w:val="22"/>
        </w:rPr>
        <w:t xml:space="preserve"> остварења за 201</w:t>
      </w:r>
      <w:r w:rsidR="0030068A">
        <w:rPr>
          <w:rFonts w:ascii="Arial" w:hAnsi="Arial" w:cs="Arial"/>
          <w:sz w:val="22"/>
          <w:lang w:val="sr-Cyrl-RS"/>
        </w:rPr>
        <w:t>9</w:t>
      </w:r>
      <w:r w:rsidRPr="005A77A9">
        <w:rPr>
          <w:rFonts w:ascii="Arial" w:hAnsi="Arial" w:cs="Arial"/>
          <w:sz w:val="22"/>
        </w:rPr>
        <w:t xml:space="preserve">. </w:t>
      </w:r>
      <w:proofErr w:type="gramStart"/>
      <w:r w:rsidRPr="005A77A9">
        <w:rPr>
          <w:rFonts w:ascii="Arial" w:hAnsi="Arial" w:cs="Arial"/>
          <w:sz w:val="22"/>
        </w:rPr>
        <w:t>годин</w:t>
      </w:r>
      <w:r w:rsidRPr="005A77A9">
        <w:rPr>
          <w:rFonts w:ascii="Arial" w:hAnsi="Arial" w:cs="Arial"/>
          <w:sz w:val="22"/>
          <w:lang w:val="sr-Cyrl-RS"/>
        </w:rPr>
        <w:t>у</w:t>
      </w:r>
      <w:proofErr w:type="gramEnd"/>
      <w:r w:rsidR="0030068A">
        <w:rPr>
          <w:rFonts w:ascii="Arial" w:hAnsi="Arial" w:cs="Arial"/>
          <w:sz w:val="22"/>
          <w:lang w:val="sr-Cyrl-RS"/>
        </w:rPr>
        <w:t xml:space="preserve"> и планираних уштеда</w:t>
      </w:r>
      <w:r w:rsidRPr="005A77A9">
        <w:rPr>
          <w:rFonts w:ascii="Arial" w:hAnsi="Arial" w:cs="Arial"/>
          <w:sz w:val="22"/>
        </w:rPr>
        <w:t xml:space="preserve">. </w:t>
      </w:r>
      <w:r w:rsidRPr="005A77A9">
        <w:rPr>
          <w:rFonts w:ascii="Arial" w:hAnsi="Arial" w:cs="Arial"/>
          <w:sz w:val="22"/>
          <w:lang w:val="sr-Cyrl-CS"/>
        </w:rPr>
        <w:t xml:space="preserve">Према Плану пословања ови трошкови износе </w:t>
      </w:r>
      <w:r w:rsidR="000679AD">
        <w:rPr>
          <w:rFonts w:ascii="Arial" w:hAnsi="Arial" w:cs="Arial"/>
          <w:sz w:val="22"/>
          <w:lang w:val="sr-Cyrl-CS"/>
        </w:rPr>
        <w:t>1,7</w:t>
      </w:r>
      <w:r w:rsidR="0030068A">
        <w:rPr>
          <w:rFonts w:ascii="Arial" w:hAnsi="Arial" w:cs="Arial"/>
          <w:sz w:val="22"/>
          <w:lang w:val="sr-Cyrl-CS"/>
        </w:rPr>
        <w:t>9</w:t>
      </w:r>
      <w:r w:rsidRPr="005A77A9">
        <w:rPr>
          <w:rFonts w:ascii="Arial" w:hAnsi="Arial" w:cs="Arial"/>
          <w:sz w:val="22"/>
          <w:lang w:val="sr-Cyrl-CS"/>
        </w:rPr>
        <w:t xml:space="preserve"> мил. КМ.</w:t>
      </w:r>
      <w:r w:rsidRPr="005A77A9">
        <w:rPr>
          <w:rFonts w:ascii="Arial" w:hAnsi="Arial" w:cs="Arial"/>
          <w:sz w:val="22"/>
        </w:rPr>
        <w:t xml:space="preserve"> </w:t>
      </w:r>
    </w:p>
    <w:p w:rsidR="005A77A9" w:rsidRPr="005A77A9" w:rsidRDefault="005A77A9" w:rsidP="005A77A9">
      <w:pPr>
        <w:ind w:left="720"/>
        <w:jc w:val="both"/>
        <w:rPr>
          <w:bCs/>
          <w:lang w:val="sr-Cyrl-CS"/>
        </w:rPr>
      </w:pPr>
    </w:p>
    <w:p w:rsidR="005A77A9" w:rsidRPr="005A77A9" w:rsidRDefault="005A77A9" w:rsidP="0046227E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5A77A9">
        <w:rPr>
          <w:rFonts w:ascii="Arial" w:hAnsi="Arial" w:cs="Arial"/>
          <w:b/>
          <w:sz w:val="22"/>
        </w:rPr>
        <w:t xml:space="preserve">Трошкови амортизације </w:t>
      </w:r>
      <w:r w:rsidRPr="005A77A9">
        <w:rPr>
          <w:rFonts w:ascii="Arial" w:hAnsi="Arial" w:cs="Arial"/>
          <w:sz w:val="22"/>
        </w:rPr>
        <w:t>планирани су на основу процјењене вриједности</w:t>
      </w:r>
      <w:r w:rsidR="0030068A">
        <w:rPr>
          <w:rFonts w:ascii="Arial" w:hAnsi="Arial" w:cs="Arial"/>
          <w:sz w:val="22"/>
        </w:rPr>
        <w:t xml:space="preserve"> основних средстава на дан 31.1</w:t>
      </w:r>
      <w:r w:rsidR="0030068A">
        <w:rPr>
          <w:rFonts w:ascii="Arial" w:hAnsi="Arial" w:cs="Arial"/>
          <w:sz w:val="22"/>
          <w:lang w:val="sr-Cyrl-BA"/>
        </w:rPr>
        <w:t>1</w:t>
      </w:r>
      <w:r w:rsidRPr="005A77A9">
        <w:rPr>
          <w:rFonts w:ascii="Arial" w:hAnsi="Arial" w:cs="Arial"/>
          <w:sz w:val="22"/>
        </w:rPr>
        <w:t>.20</w:t>
      </w:r>
      <w:r w:rsidR="0050547F">
        <w:rPr>
          <w:rFonts w:ascii="Arial" w:hAnsi="Arial" w:cs="Arial"/>
          <w:sz w:val="22"/>
          <w:lang w:val="sr-Cyrl-RS"/>
        </w:rPr>
        <w:t>1</w:t>
      </w:r>
      <w:r w:rsidR="0030068A">
        <w:rPr>
          <w:rFonts w:ascii="Arial" w:hAnsi="Arial" w:cs="Arial"/>
          <w:sz w:val="22"/>
          <w:lang w:val="sr-Cyrl-RS"/>
        </w:rPr>
        <w:t>9</w:t>
      </w:r>
      <w:r w:rsidRPr="005A77A9">
        <w:rPr>
          <w:rFonts w:ascii="Arial" w:hAnsi="Arial" w:cs="Arial"/>
          <w:sz w:val="22"/>
        </w:rPr>
        <w:t>. Амортизација се обрачунава за свако средство појединачно и у складу са преосталим животним вијеком средства. За основна средства к</w:t>
      </w:r>
      <w:r w:rsidR="00656440">
        <w:rPr>
          <w:rFonts w:ascii="Arial" w:hAnsi="Arial" w:cs="Arial"/>
          <w:sz w:val="22"/>
        </w:rPr>
        <w:t>оја се планирају набавити према</w:t>
      </w:r>
      <w:r w:rsidRPr="005A77A9">
        <w:rPr>
          <w:rFonts w:ascii="Arial" w:hAnsi="Arial" w:cs="Arial"/>
          <w:sz w:val="22"/>
          <w:lang w:val="sr-Cyrl-CS"/>
        </w:rPr>
        <w:t xml:space="preserve"> п</w:t>
      </w:r>
      <w:r w:rsidRPr="005A77A9">
        <w:rPr>
          <w:rFonts w:ascii="Arial" w:hAnsi="Arial" w:cs="Arial"/>
          <w:sz w:val="22"/>
        </w:rPr>
        <w:t>лан</w:t>
      </w:r>
      <w:r w:rsidR="00656440">
        <w:rPr>
          <w:rFonts w:ascii="Arial" w:hAnsi="Arial" w:cs="Arial"/>
          <w:sz w:val="22"/>
          <w:lang w:val="sr-Cyrl-CS"/>
        </w:rPr>
        <w:t>у</w:t>
      </w:r>
      <w:r w:rsidRPr="005A77A9">
        <w:rPr>
          <w:rFonts w:ascii="Arial" w:hAnsi="Arial" w:cs="Arial"/>
          <w:sz w:val="22"/>
        </w:rPr>
        <w:t xml:space="preserve"> инвестиција у наредном периоду, обрачун амортизације за сваку групу средстава планиран је према припадајућој </w:t>
      </w:r>
      <w:r w:rsidRPr="005A77A9">
        <w:rPr>
          <w:rFonts w:ascii="Arial" w:hAnsi="Arial" w:cs="Arial"/>
          <w:sz w:val="22"/>
          <w:lang w:val="sr-Cyrl-BA"/>
        </w:rPr>
        <w:t xml:space="preserve">амортизационој </w:t>
      </w:r>
      <w:r w:rsidRPr="005A77A9">
        <w:rPr>
          <w:rFonts w:ascii="Arial" w:hAnsi="Arial" w:cs="Arial"/>
          <w:sz w:val="22"/>
        </w:rPr>
        <w:t xml:space="preserve">стопи. </w:t>
      </w:r>
    </w:p>
    <w:p w:rsidR="005A77A9" w:rsidRPr="005A77A9" w:rsidRDefault="005A77A9" w:rsidP="005A77A9">
      <w:pPr>
        <w:jc w:val="both"/>
        <w:rPr>
          <w:bCs/>
          <w:lang w:val="sr-Cyrl-CS"/>
        </w:rPr>
      </w:pPr>
    </w:p>
    <w:p w:rsidR="00217504" w:rsidRPr="0030068A" w:rsidRDefault="005A77A9" w:rsidP="0030068A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lastRenderedPageBreak/>
        <w:t xml:space="preserve">Нематеријални трошкови (без пореза и доприноса) </w:t>
      </w:r>
      <w:r w:rsidRPr="005A77A9">
        <w:rPr>
          <w:rFonts w:ascii="Arial" w:hAnsi="Arial" w:cs="Arial"/>
          <w:sz w:val="22"/>
          <w:lang w:val="sr-Cyrl-CS"/>
        </w:rPr>
        <w:t xml:space="preserve">(репрезентација, осигурање, платни промет) планирани су у складу са остварењем </w:t>
      </w:r>
      <w:r w:rsidR="00FB47CC">
        <w:rPr>
          <w:rFonts w:ascii="Arial" w:hAnsi="Arial" w:cs="Arial"/>
          <w:sz w:val="22"/>
          <w:lang w:val="sr-Cyrl-CS"/>
        </w:rPr>
        <w:t>претходног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периода </w:t>
      </w:r>
      <w:r w:rsidRPr="005A77A9">
        <w:rPr>
          <w:rFonts w:ascii="Arial" w:hAnsi="Arial" w:cs="Arial"/>
          <w:sz w:val="22"/>
          <w:lang w:val="sr-Cyrl-BA"/>
        </w:rPr>
        <w:t>и</w:t>
      </w:r>
      <w:r w:rsidRPr="005A77A9">
        <w:rPr>
          <w:rFonts w:ascii="Arial" w:hAnsi="Arial" w:cs="Arial"/>
          <w:sz w:val="22"/>
        </w:rPr>
        <w:t xml:space="preserve"> уз п</w:t>
      </w:r>
      <w:r w:rsidRPr="005A77A9">
        <w:rPr>
          <w:rFonts w:ascii="Arial" w:hAnsi="Arial" w:cs="Arial"/>
          <w:sz w:val="22"/>
          <w:lang w:val="sr-Cyrl-CS"/>
        </w:rPr>
        <w:t>ретпоставк</w:t>
      </w:r>
      <w:r w:rsidRPr="005A77A9">
        <w:rPr>
          <w:rFonts w:ascii="Arial" w:hAnsi="Arial" w:cs="Arial"/>
          <w:sz w:val="22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да ће у оквиру појединих трошкова услед рационалнијег начина пословања доћи до смањења њиховог износа.  </w:t>
      </w:r>
    </w:p>
    <w:p w:rsidR="00217504" w:rsidRDefault="00217504" w:rsidP="005A77A9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5A77A9" w:rsidRPr="005A77A9" w:rsidRDefault="005A77A9" w:rsidP="005A77A9">
      <w:pPr>
        <w:ind w:left="1080"/>
        <w:jc w:val="both"/>
        <w:rPr>
          <w:rFonts w:ascii="Arial" w:hAnsi="Arial" w:cs="Arial"/>
          <w:sz w:val="22"/>
          <w:szCs w:val="28"/>
          <w:lang w:val="sr-Cyrl-CS"/>
        </w:rPr>
      </w:pPr>
      <w:r w:rsidRPr="00721CAB">
        <w:rPr>
          <w:rFonts w:ascii="Arial" w:hAnsi="Arial" w:cs="Arial"/>
          <w:b/>
          <w:sz w:val="22"/>
          <w:szCs w:val="28"/>
          <w:lang w:val="sr-Cyrl-CS"/>
        </w:rPr>
        <w:t>ФИНАНСИЈСКИ РАСХОД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sz w:val="22"/>
          <w:szCs w:val="28"/>
          <w:lang w:val="sr-Cyrl-CS"/>
        </w:rPr>
      </w:pPr>
    </w:p>
    <w:p w:rsidR="005A77A9" w:rsidRPr="005A77A9" w:rsidRDefault="005A77A9" w:rsidP="0030068A">
      <w:pPr>
        <w:jc w:val="both"/>
        <w:rPr>
          <w:rFonts w:ascii="Arial" w:hAnsi="Arial" w:cs="Arial"/>
          <w:b/>
          <w:sz w:val="22"/>
          <w:szCs w:val="28"/>
          <w:lang w:val="sr-Cyrl-CS"/>
        </w:rPr>
      </w:pPr>
      <w:r w:rsidRPr="00FB47CC">
        <w:rPr>
          <w:rFonts w:ascii="Arial" w:hAnsi="Arial" w:cs="Arial"/>
          <w:sz w:val="22"/>
          <w:lang w:val="sr-Cyrl-CS"/>
        </w:rPr>
        <w:t>Расходи камата по кредитима</w:t>
      </w:r>
      <w:r w:rsidRPr="005A77A9">
        <w:rPr>
          <w:rFonts w:ascii="Arial" w:hAnsi="Arial" w:cs="Arial"/>
          <w:b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планирани су на основу камата из ануитета екстерних кредита.  </w:t>
      </w:r>
    </w:p>
    <w:p w:rsidR="005A77A9" w:rsidRPr="005A77A9" w:rsidRDefault="005A77A9" w:rsidP="005A77A9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5A77A9" w:rsidRPr="00545A1E" w:rsidRDefault="005A77A9" w:rsidP="005A77A9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</w:pPr>
      <w:r w:rsidRPr="00545A1E">
        <w:rPr>
          <w:rFonts w:ascii="Arial" w:hAnsi="Arial" w:cs="Arial"/>
          <w:b/>
          <w:bCs/>
          <w:iCs/>
          <w:sz w:val="22"/>
          <w:u w:val="single"/>
          <w:lang w:val="sr-Cyrl-CS"/>
        </w:rPr>
        <w:t xml:space="preserve">Структура планираних укупних расхода  за </w:t>
      </w:r>
      <w:r w:rsidRPr="00545A1E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20</w:t>
      </w:r>
      <w:r w:rsidR="0030068A" w:rsidRPr="00545A1E"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20</w:t>
      </w:r>
      <w:r w:rsidRPr="00545A1E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. годину</w:t>
      </w:r>
      <w:r w:rsidR="004F0078" w:rsidRPr="00545A1E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:</w:t>
      </w:r>
    </w:p>
    <w:p w:rsidR="005A77A9" w:rsidRPr="005A77A9" w:rsidRDefault="005A77A9" w:rsidP="005A77A9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5A77A9">
        <w:rPr>
          <w:rFonts w:ascii="Arial" w:hAnsi="Arial" w:cs="Arial"/>
          <w:b/>
          <w:sz w:val="22"/>
          <w:lang w:val="sr-Cyrl-CS"/>
        </w:rPr>
        <w:t xml:space="preserve">                                                                                                                                       </w:t>
      </w:r>
    </w:p>
    <w:tbl>
      <w:tblPr>
        <w:tblW w:w="9650" w:type="dxa"/>
        <w:tblLook w:val="0000" w:firstRow="0" w:lastRow="0" w:firstColumn="0" w:lastColumn="0" w:noHBand="0" w:noVBand="0"/>
      </w:tblPr>
      <w:tblGrid>
        <w:gridCol w:w="9650"/>
      </w:tblGrid>
      <w:tr w:rsidR="005A77A9" w:rsidRPr="005A77A9" w:rsidTr="00721CAB">
        <w:trPr>
          <w:trHeight w:val="313"/>
        </w:trPr>
        <w:tc>
          <w:tcPr>
            <w:tcW w:w="9650" w:type="dxa"/>
          </w:tcPr>
          <w:p w:rsidR="005A77A9" w:rsidRPr="00757143" w:rsidRDefault="005A77A9" w:rsidP="00545A1E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BA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Трошкови набавке ел</w:t>
            </w:r>
            <w:r w:rsidRPr="005A77A9">
              <w:rPr>
                <w:rFonts w:ascii="Arial" w:hAnsi="Arial" w:cs="Arial"/>
                <w:sz w:val="22"/>
                <w:szCs w:val="20"/>
                <w:lang w:val="sr-Cyrl-RS"/>
              </w:rPr>
              <w:t xml:space="preserve">ектричне </w:t>
            </w: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енергије  ..............................................</w:t>
            </w:r>
            <w:r w:rsidR="00545A1E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</w:t>
            </w:r>
            <w:r w:rsidR="00545A1E">
              <w:rPr>
                <w:rFonts w:ascii="Arial" w:hAnsi="Arial" w:cs="Arial"/>
                <w:sz w:val="22"/>
                <w:szCs w:val="20"/>
                <w:lang w:val="sr-Cyrl-BA"/>
              </w:rPr>
              <w:t>39.278.323</w:t>
            </w:r>
            <w:r w:rsidR="00757143"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</w:t>
            </w:r>
            <w:r w:rsidR="002D7CD7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86779A">
              <w:rPr>
                <w:rFonts w:ascii="Arial" w:hAnsi="Arial" w:cs="Arial"/>
                <w:sz w:val="22"/>
                <w:szCs w:val="20"/>
                <w:lang w:val="sr-Cyrl-BA"/>
              </w:rPr>
              <w:t>57</w:t>
            </w:r>
            <w:r w:rsidR="00F64490">
              <w:rPr>
                <w:rFonts w:ascii="Arial" w:hAnsi="Arial" w:cs="Arial"/>
                <w:sz w:val="22"/>
                <w:szCs w:val="20"/>
                <w:lang w:val="sr-Cyrl-BA"/>
              </w:rPr>
              <w:t>%</w:t>
            </w:r>
          </w:p>
        </w:tc>
      </w:tr>
      <w:tr w:rsidR="005A77A9" w:rsidRPr="005A77A9" w:rsidTr="00721CAB">
        <w:trPr>
          <w:trHeight w:val="313"/>
        </w:trPr>
        <w:tc>
          <w:tcPr>
            <w:tcW w:w="9650" w:type="dxa"/>
            <w:tcBorders>
              <w:bottom w:val="single" w:sz="2" w:space="0" w:color="auto"/>
            </w:tcBorders>
          </w:tcPr>
          <w:p w:rsidR="004F0078" w:rsidRDefault="004F0078" w:rsidP="004F007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29728A" w:rsidRDefault="005A77A9" w:rsidP="00545A1E">
            <w:pPr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 xml:space="preserve">Бруто зараде, накнаде и остала лична примања .................................. </w:t>
            </w:r>
            <w:r w:rsidR="00C751C5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545A1E">
              <w:rPr>
                <w:rFonts w:ascii="Arial" w:hAnsi="Arial" w:cs="Arial"/>
                <w:sz w:val="22"/>
                <w:szCs w:val="20"/>
              </w:rPr>
              <w:t>2</w:t>
            </w:r>
            <w:r w:rsidR="00545A1E">
              <w:rPr>
                <w:rFonts w:ascii="Arial" w:hAnsi="Arial" w:cs="Arial"/>
                <w:sz w:val="22"/>
                <w:szCs w:val="20"/>
                <w:lang w:val="sr-Cyrl-BA"/>
              </w:rPr>
              <w:t>8</w:t>
            </w:r>
            <w:r w:rsidR="00757143">
              <w:rPr>
                <w:rFonts w:ascii="Arial" w:hAnsi="Arial" w:cs="Arial"/>
                <w:sz w:val="22"/>
                <w:szCs w:val="20"/>
              </w:rPr>
              <w:t>.</w:t>
            </w:r>
            <w:r w:rsidR="00545A1E">
              <w:rPr>
                <w:rFonts w:ascii="Arial" w:hAnsi="Arial" w:cs="Arial"/>
                <w:sz w:val="22"/>
                <w:szCs w:val="20"/>
                <w:lang w:val="sr-Cyrl-CS"/>
              </w:rPr>
              <w:t>248</w:t>
            </w:r>
            <w:r w:rsidR="001E6FAE">
              <w:rPr>
                <w:rFonts w:ascii="Arial" w:hAnsi="Arial" w:cs="Arial"/>
                <w:sz w:val="22"/>
                <w:szCs w:val="20"/>
                <w:lang w:val="sr-Cyrl-CS"/>
              </w:rPr>
              <w:t>.</w:t>
            </w:r>
            <w:r w:rsidR="00545A1E">
              <w:rPr>
                <w:rFonts w:ascii="Arial" w:hAnsi="Arial" w:cs="Arial"/>
                <w:sz w:val="22"/>
                <w:szCs w:val="20"/>
                <w:lang w:val="sr-Cyrl-CS"/>
              </w:rPr>
              <w:t>167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22696">
              <w:rPr>
                <w:rFonts w:ascii="Arial" w:hAnsi="Arial" w:cs="Arial"/>
                <w:sz w:val="22"/>
                <w:szCs w:val="20"/>
                <w:lang w:val="sr-Cyrl-BA"/>
              </w:rPr>
              <w:t xml:space="preserve"> 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3</w:t>
            </w:r>
            <w:r w:rsidR="00F64490">
              <w:rPr>
                <w:rFonts w:ascii="Arial" w:hAnsi="Arial" w:cs="Arial"/>
                <w:sz w:val="22"/>
                <w:szCs w:val="20"/>
                <w:lang w:val="sr-Cyrl-RS"/>
              </w:rPr>
              <w:t>3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5A77A9" w:rsidTr="00721CAB">
        <w:trPr>
          <w:trHeight w:val="299"/>
        </w:trPr>
        <w:tc>
          <w:tcPr>
            <w:tcW w:w="9650" w:type="dxa"/>
            <w:tcBorders>
              <w:top w:val="single" w:sz="2" w:space="0" w:color="auto"/>
            </w:tcBorders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29728A" w:rsidRDefault="005A77A9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материјала, горива и енергије ...............................................     </w:t>
            </w:r>
            <w:r w:rsidRPr="005A77A9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757143">
              <w:rPr>
                <w:rFonts w:ascii="Arial" w:hAnsi="Arial" w:cs="Arial"/>
                <w:sz w:val="22"/>
                <w:szCs w:val="20"/>
              </w:rPr>
              <w:t>2.</w:t>
            </w:r>
            <w:r w:rsidR="00F43D26">
              <w:rPr>
                <w:rFonts w:ascii="Arial" w:hAnsi="Arial" w:cs="Arial"/>
                <w:sz w:val="22"/>
                <w:szCs w:val="20"/>
                <w:lang w:val="sr-Cyrl-CS"/>
              </w:rPr>
              <w:t>00</w:t>
            </w:r>
            <w:r w:rsidR="00757143">
              <w:rPr>
                <w:rFonts w:ascii="Arial" w:hAnsi="Arial" w:cs="Arial"/>
                <w:sz w:val="22"/>
                <w:szCs w:val="20"/>
                <w:lang w:val="sr-Cyrl-CS"/>
              </w:rPr>
              <w:t>0.000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F6449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2%</w:t>
            </w:r>
          </w:p>
        </w:tc>
      </w:tr>
      <w:tr w:rsidR="005A77A9" w:rsidRPr="005A77A9" w:rsidTr="004F0078">
        <w:trPr>
          <w:trHeight w:val="299"/>
        </w:trPr>
        <w:tc>
          <w:tcPr>
            <w:tcW w:w="9650" w:type="dxa"/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29728A" w:rsidRDefault="005A77A9" w:rsidP="0075714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производних услуга ...............................................................     </w:t>
            </w:r>
            <w:r w:rsidR="0029728A">
              <w:rPr>
                <w:rFonts w:ascii="Arial" w:hAnsi="Arial" w:cs="Arial"/>
                <w:sz w:val="22"/>
                <w:szCs w:val="20"/>
                <w:lang w:val="sr-Cyrl-CS"/>
              </w:rPr>
              <w:t xml:space="preserve"> </w:t>
            </w:r>
            <w:r w:rsidR="00C751C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22696">
              <w:rPr>
                <w:rFonts w:ascii="Arial" w:hAnsi="Arial" w:cs="Arial"/>
                <w:sz w:val="22"/>
                <w:szCs w:val="20"/>
                <w:lang w:val="sr-Cyrl-RS"/>
              </w:rPr>
              <w:t>1.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793</w:t>
            </w:r>
            <w:r w:rsidR="00322696">
              <w:rPr>
                <w:rFonts w:ascii="Arial" w:hAnsi="Arial" w:cs="Arial"/>
                <w:sz w:val="22"/>
                <w:szCs w:val="20"/>
                <w:lang w:val="sr-Cyrl-RS"/>
              </w:rPr>
              <w:t>.000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</w:t>
            </w:r>
            <w:r w:rsidR="00F6449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2%</w:t>
            </w:r>
          </w:p>
        </w:tc>
      </w:tr>
      <w:tr w:rsidR="005A77A9" w:rsidRPr="005A77A9" w:rsidTr="004F0078">
        <w:trPr>
          <w:trHeight w:val="299"/>
        </w:trPr>
        <w:tc>
          <w:tcPr>
            <w:tcW w:w="9650" w:type="dxa"/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5A77A9" w:rsidRDefault="005A77A9" w:rsidP="00545A1E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Амортизација и резервисања .....................................</w:t>
            </w:r>
            <w:r w:rsidR="0029728A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............................   </w:t>
            </w:r>
            <w:r w:rsidR="00C751C5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29728A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0</w:t>
            </w:r>
            <w:r w:rsidR="0029728A">
              <w:rPr>
                <w:rFonts w:ascii="Arial" w:hAnsi="Arial" w:cs="Arial"/>
                <w:sz w:val="22"/>
                <w:szCs w:val="20"/>
                <w:lang w:val="sr-Cyrl-RS"/>
              </w:rPr>
              <w:t>.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10</w:t>
            </w:r>
            <w:r w:rsidR="00757143">
              <w:rPr>
                <w:rFonts w:ascii="Arial" w:hAnsi="Arial" w:cs="Arial"/>
                <w:sz w:val="22"/>
                <w:szCs w:val="20"/>
                <w:lang w:val="sr-Cyrl-RS"/>
              </w:rPr>
              <w:t>0</w:t>
            </w:r>
            <w:r w:rsidR="0029728A">
              <w:rPr>
                <w:rFonts w:ascii="Arial" w:hAnsi="Arial" w:cs="Arial"/>
                <w:sz w:val="22"/>
                <w:szCs w:val="20"/>
                <w:lang w:val="sr-Cyrl-RS"/>
              </w:rPr>
              <w:t>.000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86779A"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5A77A9" w:rsidTr="004F0078">
        <w:trPr>
          <w:trHeight w:val="299"/>
        </w:trPr>
        <w:tc>
          <w:tcPr>
            <w:tcW w:w="9650" w:type="dxa"/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29728A" w:rsidRDefault="005A77A9" w:rsidP="00545A1E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Нематеријални трошкови</w:t>
            </w:r>
            <w:r w:rsidRPr="005A77A9">
              <w:rPr>
                <w:rFonts w:ascii="Arial" w:hAnsi="Arial" w:cs="Arial"/>
                <w:sz w:val="22"/>
                <w:szCs w:val="20"/>
              </w:rPr>
              <w:t xml:space="preserve"> са порезима и доприносима</w:t>
            </w: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    </w:t>
            </w:r>
            <w:r w:rsidRPr="005A77A9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 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F43D26">
              <w:rPr>
                <w:rFonts w:ascii="Arial" w:hAnsi="Arial" w:cs="Arial"/>
                <w:sz w:val="22"/>
                <w:szCs w:val="20"/>
                <w:lang w:val="sr-Cyrl-RS"/>
              </w:rPr>
              <w:t>.</w:t>
            </w:r>
            <w:r w:rsidR="00545A1E">
              <w:rPr>
                <w:rFonts w:ascii="Arial" w:hAnsi="Arial" w:cs="Arial"/>
                <w:sz w:val="22"/>
                <w:szCs w:val="20"/>
                <w:lang w:val="sr-Cyrl-RS"/>
              </w:rPr>
              <w:t>558</w:t>
            </w:r>
            <w:r w:rsidR="00757143">
              <w:rPr>
                <w:rFonts w:ascii="Arial" w:hAnsi="Arial" w:cs="Arial"/>
                <w:sz w:val="22"/>
                <w:szCs w:val="20"/>
                <w:lang w:val="sr-Cyrl-RS"/>
              </w:rPr>
              <w:t>.000</w:t>
            </w:r>
            <w:r w:rsidR="0029728A">
              <w:rPr>
                <w:rFonts w:ascii="Arial" w:hAnsi="Arial" w:cs="Arial"/>
                <w:sz w:val="22"/>
                <w:szCs w:val="20"/>
                <w:lang w:val="sr-Cyrl-RS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</w:t>
            </w:r>
            <w:r w:rsidR="00857091"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5A77A9" w:rsidTr="004F0078">
        <w:trPr>
          <w:trHeight w:val="299"/>
        </w:trPr>
        <w:tc>
          <w:tcPr>
            <w:tcW w:w="9650" w:type="dxa"/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5A77A9" w:rsidRDefault="005A77A9" w:rsidP="00857091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Финансијски расходи......................................................</w:t>
            </w:r>
            <w:r w:rsidR="00545A1E">
              <w:rPr>
                <w:rFonts w:ascii="Arial" w:hAnsi="Arial" w:cs="Arial"/>
                <w:sz w:val="22"/>
                <w:szCs w:val="20"/>
                <w:lang w:val="sr-Cyrl-CS"/>
              </w:rPr>
              <w:t>..........................     1.200</w:t>
            </w:r>
            <w:r w:rsidR="00857091">
              <w:rPr>
                <w:rFonts w:ascii="Arial" w:hAnsi="Arial" w:cs="Arial"/>
                <w:sz w:val="22"/>
                <w:szCs w:val="20"/>
                <w:lang w:val="sr-Cyrl-CS"/>
              </w:rPr>
              <w:t>.000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</w:t>
            </w:r>
            <w:r w:rsidR="004F0078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</w:t>
            </w:r>
            <w:r w:rsidR="00545A1E">
              <w:rPr>
                <w:rFonts w:ascii="Arial" w:hAnsi="Arial" w:cs="Arial"/>
                <w:sz w:val="22"/>
                <w:szCs w:val="20"/>
                <w:lang w:val="sr-Cyrl-CS"/>
              </w:rPr>
              <w:t>1</w:t>
            </w:r>
            <w:r w:rsidR="003E4314">
              <w:rPr>
                <w:rFonts w:ascii="Arial" w:hAnsi="Arial" w:cs="Arial"/>
                <w:sz w:val="22"/>
                <w:szCs w:val="20"/>
                <w:lang w:val="sr-Cyrl-CS"/>
              </w:rPr>
              <w:t>%</w:t>
            </w:r>
          </w:p>
        </w:tc>
      </w:tr>
      <w:tr w:rsidR="005A77A9" w:rsidRPr="005A77A9" w:rsidTr="004F0078">
        <w:trPr>
          <w:trHeight w:val="299"/>
        </w:trPr>
        <w:tc>
          <w:tcPr>
            <w:tcW w:w="9650" w:type="dxa"/>
          </w:tcPr>
          <w:p w:rsidR="004F0078" w:rsidRDefault="004F0078" w:rsidP="00721CAB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5A77A9" w:rsidRPr="0029728A" w:rsidRDefault="005A77A9" w:rsidP="00857091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sz w:val="22"/>
                <w:szCs w:val="20"/>
                <w:lang w:val="sr-Cyrl-CS"/>
              </w:rPr>
              <w:t>Остали расходи ............................................................</w:t>
            </w:r>
            <w:r w:rsidR="0029728A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.............................  </w:t>
            </w:r>
            <w:r w:rsidRPr="005A77A9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F43D26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1D74A1">
              <w:rPr>
                <w:rFonts w:ascii="Arial" w:hAnsi="Arial" w:cs="Arial"/>
                <w:sz w:val="22"/>
                <w:szCs w:val="20"/>
                <w:lang w:val="sr-Cyrl-CS"/>
              </w:rPr>
              <w:t>78</w:t>
            </w:r>
            <w:r w:rsidR="00857091">
              <w:rPr>
                <w:rFonts w:ascii="Arial" w:hAnsi="Arial" w:cs="Arial"/>
                <w:sz w:val="22"/>
                <w:szCs w:val="20"/>
                <w:lang w:val="sr-Cyrl-CS"/>
              </w:rPr>
              <w:t>0.000</w:t>
            </w:r>
            <w:r w:rsidR="004F0078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</w:t>
            </w:r>
            <w:r w:rsidR="004F0078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86779A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3E4314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5A77A9" w:rsidTr="004F0078">
        <w:trPr>
          <w:trHeight w:val="253"/>
        </w:trPr>
        <w:tc>
          <w:tcPr>
            <w:tcW w:w="9650" w:type="dxa"/>
          </w:tcPr>
          <w:p w:rsidR="005A77A9" w:rsidRPr="005A77A9" w:rsidRDefault="005A77A9" w:rsidP="005A77A9">
            <w:pP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5A77A9" w:rsidRPr="005A77A9" w:rsidTr="00721CAB">
        <w:trPr>
          <w:trHeight w:val="299"/>
        </w:trPr>
        <w:tc>
          <w:tcPr>
            <w:tcW w:w="9650" w:type="dxa"/>
            <w:tcBorders>
              <w:bottom w:val="single" w:sz="2" w:space="0" w:color="auto"/>
            </w:tcBorders>
          </w:tcPr>
          <w:p w:rsidR="005A77A9" w:rsidRPr="0029728A" w:rsidRDefault="005A77A9" w:rsidP="00857091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</w:pPr>
            <w:r w:rsidRPr="005A77A9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УКУПНИ РАСХОДИ: ................................................</w:t>
            </w:r>
            <w:r w:rsidR="00FB47CC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..............................</w:t>
            </w:r>
            <w:r w:rsidRPr="005A77A9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 xml:space="preserve">  </w:t>
            </w:r>
            <w:r w:rsidRPr="005A77A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="0086779A">
              <w:rPr>
                <w:rFonts w:ascii="Arial" w:hAnsi="Arial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="00545A1E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84.957.490</w:t>
            </w:r>
            <w:r w:rsidR="001E6FAE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,00</w:t>
            </w:r>
            <w:r w:rsidR="003E4314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</w:t>
            </w:r>
            <w:r w:rsidR="004F0078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</w:t>
            </w:r>
            <w:r w:rsidR="003E4314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>100%</w:t>
            </w:r>
          </w:p>
        </w:tc>
      </w:tr>
    </w:tbl>
    <w:p w:rsidR="005A77A9" w:rsidRDefault="005A77A9" w:rsidP="005A77A9">
      <w:pPr>
        <w:rPr>
          <w:rFonts w:ascii="Arial" w:hAnsi="Arial" w:cs="Arial"/>
          <w:sz w:val="22"/>
        </w:rPr>
      </w:pPr>
    </w:p>
    <w:p w:rsidR="00721CAB" w:rsidRPr="00721CAB" w:rsidRDefault="00721CAB" w:rsidP="00721CAB">
      <w:pPr>
        <w:pStyle w:val="Caption"/>
        <w:rPr>
          <w:rFonts w:ascii="Arial" w:hAnsi="Arial" w:cs="Arial"/>
          <w:b w:val="0"/>
          <w:lang w:val="sr-Cyrl-BA"/>
        </w:rPr>
      </w:pPr>
      <w:bookmarkStart w:id="130" w:name="_Toc482180573"/>
      <w:r w:rsidRPr="00721CAB">
        <w:rPr>
          <w:rFonts w:ascii="Arial" w:hAnsi="Arial" w:cs="Arial"/>
          <w:b w:val="0"/>
        </w:rPr>
        <w:t xml:space="preserve">Графикон </w:t>
      </w:r>
      <w:r w:rsidRPr="00721CAB">
        <w:rPr>
          <w:rFonts w:ascii="Arial" w:hAnsi="Arial" w:cs="Arial"/>
          <w:b w:val="0"/>
        </w:rPr>
        <w:fldChar w:fldCharType="begin"/>
      </w:r>
      <w:r w:rsidRPr="00721CAB">
        <w:rPr>
          <w:rFonts w:ascii="Arial" w:hAnsi="Arial" w:cs="Arial"/>
          <w:b w:val="0"/>
        </w:rPr>
        <w:instrText xml:space="preserve"> SEQ Графикон \* ARABIC </w:instrText>
      </w:r>
      <w:r w:rsidRPr="00721CAB">
        <w:rPr>
          <w:rFonts w:ascii="Arial" w:hAnsi="Arial" w:cs="Arial"/>
          <w:b w:val="0"/>
        </w:rPr>
        <w:fldChar w:fldCharType="separate"/>
      </w:r>
      <w:r w:rsidR="008D5749">
        <w:rPr>
          <w:rFonts w:ascii="Arial" w:hAnsi="Arial" w:cs="Arial"/>
          <w:b w:val="0"/>
          <w:noProof/>
        </w:rPr>
        <w:t>3</w:t>
      </w:r>
      <w:r w:rsidRPr="00721CAB">
        <w:rPr>
          <w:rFonts w:ascii="Arial" w:hAnsi="Arial" w:cs="Arial"/>
          <w:b w:val="0"/>
        </w:rPr>
        <w:fldChar w:fldCharType="end"/>
      </w:r>
      <w:r w:rsidRPr="00721CAB">
        <w:rPr>
          <w:rFonts w:ascii="Arial" w:hAnsi="Arial" w:cs="Arial"/>
          <w:b w:val="0"/>
          <w:lang w:val="sr-Cyrl-BA"/>
        </w:rPr>
        <w:t xml:space="preserve"> Структура укупних расхода</w:t>
      </w:r>
      <w:bookmarkEnd w:id="130"/>
    </w:p>
    <w:p w:rsidR="003E4314" w:rsidRPr="005A77A9" w:rsidRDefault="003E4314" w:rsidP="005A77A9">
      <w:pPr>
        <w:rPr>
          <w:rFonts w:ascii="Arial" w:hAnsi="Arial" w:cs="Arial"/>
          <w:i/>
          <w:sz w:val="22"/>
          <w:lang w:val="sr-Cyrl-RS"/>
        </w:rPr>
      </w:pPr>
    </w:p>
    <w:p w:rsidR="005A77A9" w:rsidRPr="005A77A9" w:rsidRDefault="004F0078" w:rsidP="005A77A9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665080A0" wp14:editId="39636F8A">
            <wp:extent cx="5924550" cy="32670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A77A9" w:rsidRPr="00611B3A" w:rsidRDefault="005A77A9" w:rsidP="00611B3A">
      <w:pPr>
        <w:pStyle w:val="Heading1"/>
        <w:rPr>
          <w:rFonts w:ascii="Arial" w:hAnsi="Arial" w:cs="Arial"/>
          <w:sz w:val="24"/>
          <w:szCs w:val="22"/>
        </w:rPr>
      </w:pPr>
      <w:r w:rsidRPr="005A77A9">
        <w:br w:type="page"/>
      </w:r>
      <w:bookmarkStart w:id="131" w:name="_Toc481062261"/>
      <w:bookmarkStart w:id="132" w:name="_Toc505000334"/>
      <w:bookmarkStart w:id="133" w:name="_Toc505001149"/>
      <w:bookmarkStart w:id="134" w:name="_Toc505146394"/>
      <w:bookmarkStart w:id="135" w:name="_Toc506293272"/>
      <w:bookmarkStart w:id="136" w:name="_Toc506293306"/>
      <w:bookmarkStart w:id="137" w:name="_Toc506293435"/>
      <w:bookmarkStart w:id="138" w:name="_Toc34731954"/>
      <w:r w:rsidRPr="00611B3A">
        <w:rPr>
          <w:rFonts w:ascii="Arial" w:hAnsi="Arial" w:cs="Arial"/>
          <w:sz w:val="24"/>
          <w:szCs w:val="22"/>
        </w:rPr>
        <w:lastRenderedPageBreak/>
        <w:t>ПЛАНС</w:t>
      </w:r>
      <w:r w:rsidR="00B10AE9">
        <w:rPr>
          <w:rFonts w:ascii="Arial" w:hAnsi="Arial" w:cs="Arial"/>
          <w:sz w:val="24"/>
          <w:szCs w:val="22"/>
        </w:rPr>
        <w:t>КИ БИЛАНС СТАЊА ПРЕДУЗЕЋА за 20</w:t>
      </w:r>
      <w:r w:rsidR="00B10AE9">
        <w:rPr>
          <w:rFonts w:ascii="Arial" w:hAnsi="Arial" w:cs="Arial"/>
          <w:sz w:val="24"/>
          <w:szCs w:val="22"/>
          <w:lang w:val="sr-Latn-BA"/>
        </w:rPr>
        <w:t>20</w:t>
      </w:r>
      <w:r w:rsidRPr="00611B3A">
        <w:rPr>
          <w:rFonts w:ascii="Arial" w:hAnsi="Arial" w:cs="Arial"/>
          <w:sz w:val="24"/>
          <w:szCs w:val="22"/>
        </w:rPr>
        <w:t>. годину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5A77A9" w:rsidRPr="005A77A9" w:rsidRDefault="00FB3A48" w:rsidP="005A77A9">
      <w:pPr>
        <w:rPr>
          <w:rFonts w:ascii="Arial" w:hAnsi="Arial" w:cs="Arial"/>
          <w:b/>
          <w:sz w:val="22"/>
          <w:szCs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8" style="width:482.45pt;height:.25pt" o:hrpct="980" o:hrstd="t" o:hr="t" fillcolor="gray" stroked="f"/>
        </w:pict>
      </w:r>
    </w:p>
    <w:p w:rsidR="005A77A9" w:rsidRPr="005A77A9" w:rsidRDefault="005A77A9" w:rsidP="005A77A9">
      <w:pPr>
        <w:rPr>
          <w:rFonts w:ascii="Arial" w:hAnsi="Arial" w:cs="Arial"/>
          <w:b/>
          <w:sz w:val="22"/>
          <w:szCs w:val="28"/>
          <w:lang w:val="sr-Cyrl-CS"/>
        </w:rPr>
      </w:pPr>
    </w:p>
    <w:p w:rsidR="005A77A9" w:rsidRPr="00BE72F3" w:rsidRDefault="0067013E" w:rsidP="00BE72F3">
      <w:pPr>
        <w:pStyle w:val="Heading2"/>
        <w:numPr>
          <w:ilvl w:val="0"/>
          <w:numId w:val="28"/>
        </w:numPr>
        <w:jc w:val="both"/>
        <w:rPr>
          <w:rFonts w:ascii="Arial" w:hAnsi="Arial" w:cs="Arial"/>
          <w:sz w:val="22"/>
          <w:u w:val="single"/>
        </w:rPr>
      </w:pPr>
      <w:bookmarkStart w:id="139" w:name="_Toc481062262"/>
      <w:bookmarkStart w:id="140" w:name="_Toc505000335"/>
      <w:bookmarkStart w:id="141" w:name="_Toc505001150"/>
      <w:bookmarkStart w:id="142" w:name="_Toc505146395"/>
      <w:bookmarkStart w:id="143" w:name="_Toc506293273"/>
      <w:bookmarkStart w:id="144" w:name="_Toc506293307"/>
      <w:bookmarkStart w:id="145" w:name="_Toc506293436"/>
      <w:bookmarkStart w:id="146" w:name="_Toc34731955"/>
      <w:r w:rsidRPr="00BE72F3">
        <w:rPr>
          <w:rFonts w:ascii="Arial" w:hAnsi="Arial" w:cs="Arial"/>
          <w:sz w:val="22"/>
          <w:u w:val="single"/>
          <w:lang w:val="sr-Cyrl-BA"/>
        </w:rPr>
        <w:t>Планирана а</w:t>
      </w:r>
      <w:r w:rsidR="00B10AE9">
        <w:rPr>
          <w:rFonts w:ascii="Arial" w:hAnsi="Arial" w:cs="Arial"/>
          <w:sz w:val="22"/>
          <w:u w:val="single"/>
        </w:rPr>
        <w:t>ктива Предузећа за 20</w:t>
      </w:r>
      <w:r w:rsidR="00B10AE9">
        <w:rPr>
          <w:rFonts w:ascii="Arial" w:hAnsi="Arial" w:cs="Arial"/>
          <w:sz w:val="22"/>
          <w:u w:val="single"/>
          <w:lang w:val="sr-Latn-BA"/>
        </w:rPr>
        <w:t>20</w:t>
      </w:r>
      <w:r w:rsidR="005A77A9" w:rsidRPr="00BE72F3">
        <w:rPr>
          <w:rFonts w:ascii="Arial" w:hAnsi="Arial" w:cs="Arial"/>
          <w:sz w:val="22"/>
          <w:u w:val="single"/>
        </w:rPr>
        <w:t>. годину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217504" w:rsidRDefault="00645D3C" w:rsidP="00645D3C">
      <w:pPr>
        <w:pStyle w:val="Caption"/>
        <w:rPr>
          <w:b w:val="0"/>
          <w:lang w:val="sr-Latn-BA"/>
        </w:rPr>
      </w:pPr>
      <w:bookmarkStart w:id="147" w:name="_Toc482180884"/>
      <w:bookmarkStart w:id="148" w:name="_Toc33694932"/>
      <w:r>
        <w:rPr>
          <w:lang w:val="sr-Cyrl-BA"/>
        </w:rPr>
        <w:t>Т</w:t>
      </w:r>
      <w:r w:rsidR="00F2066C">
        <w:t xml:space="preserve">абела </w:t>
      </w:r>
      <w:r w:rsidR="00F2066C">
        <w:fldChar w:fldCharType="begin"/>
      </w:r>
      <w:r w:rsidR="00F2066C">
        <w:instrText xml:space="preserve"> SEQ Табела \* ARABIC </w:instrText>
      </w:r>
      <w:r w:rsidR="00F2066C">
        <w:fldChar w:fldCharType="separate"/>
      </w:r>
      <w:r w:rsidR="008D5749">
        <w:rPr>
          <w:noProof/>
        </w:rPr>
        <w:t>9</w:t>
      </w:r>
      <w:r w:rsidR="00F2066C">
        <w:fldChar w:fldCharType="end"/>
      </w:r>
      <w:r w:rsidR="00F2066C">
        <w:rPr>
          <w:lang w:val="sr-Cyrl-BA"/>
        </w:rPr>
        <w:t xml:space="preserve"> </w:t>
      </w:r>
      <w:r w:rsidR="00F2066C" w:rsidRPr="00F2066C">
        <w:rPr>
          <w:b w:val="0"/>
          <w:lang w:val="sr-Cyrl-BA"/>
        </w:rPr>
        <w:t>Плански биланс стања – АКТИВА</w:t>
      </w:r>
      <w:bookmarkEnd w:id="147"/>
      <w:bookmarkEnd w:id="148"/>
    </w:p>
    <w:p w:rsidR="000C5A92" w:rsidRDefault="006305B0" w:rsidP="000C5A92">
      <w:pPr>
        <w:rPr>
          <w:lang w:val="sr-Latn-BA" w:eastAsia="sr-Latn-BA"/>
        </w:rPr>
      </w:pPr>
      <w:r w:rsidRPr="006305B0">
        <w:rPr>
          <w:noProof/>
          <w:lang w:val="sr-Latn-BA" w:eastAsia="sr-Latn-BA"/>
        </w:rPr>
        <w:drawing>
          <wp:inline distT="0" distB="0" distL="0" distR="0">
            <wp:extent cx="4162425" cy="7753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4A" w:rsidRPr="000C5A92" w:rsidRDefault="00E4454A" w:rsidP="000C5A92">
      <w:pPr>
        <w:rPr>
          <w:lang w:val="sr-Latn-BA" w:eastAsia="sr-Latn-BA"/>
        </w:rPr>
      </w:pPr>
    </w:p>
    <w:p w:rsidR="005A77A9" w:rsidRPr="000C5A92" w:rsidRDefault="005A77A9" w:rsidP="005A77A9">
      <w:pPr>
        <w:jc w:val="both"/>
        <w:rPr>
          <w:rFonts w:ascii="Arial" w:hAnsi="Arial" w:cs="Arial"/>
          <w:sz w:val="22"/>
          <w:lang w:val="sr-Latn-CS"/>
        </w:rPr>
      </w:pPr>
      <w:r w:rsidRPr="00645D3C">
        <w:rPr>
          <w:rFonts w:ascii="Arial" w:hAnsi="Arial" w:cs="Arial"/>
          <w:b/>
          <w:sz w:val="22"/>
          <w:lang w:val="sr-Cyrl-CS"/>
        </w:rPr>
        <w:t>Стална имовина</w:t>
      </w:r>
      <w:r w:rsidRPr="00645D3C">
        <w:rPr>
          <w:rFonts w:ascii="Arial" w:hAnsi="Arial" w:cs="Arial"/>
          <w:sz w:val="22"/>
          <w:lang w:val="sr-Cyrl-CS"/>
        </w:rPr>
        <w:t xml:space="preserve"> Предузећа на дан 31.12.20</w:t>
      </w:r>
      <w:r w:rsidR="00645D3C" w:rsidRPr="00645D3C">
        <w:rPr>
          <w:rFonts w:ascii="Arial" w:hAnsi="Arial" w:cs="Arial"/>
          <w:sz w:val="22"/>
          <w:lang w:val="sr-Cyrl-BA"/>
        </w:rPr>
        <w:t>20</w:t>
      </w:r>
      <w:r w:rsidRPr="00645D3C">
        <w:rPr>
          <w:rFonts w:ascii="Arial" w:hAnsi="Arial" w:cs="Arial"/>
          <w:sz w:val="22"/>
          <w:lang w:val="sr-Cyrl-CS"/>
        </w:rPr>
        <w:t>. године према П</w:t>
      </w:r>
      <w:r w:rsidRPr="00645D3C">
        <w:rPr>
          <w:rFonts w:ascii="Arial" w:hAnsi="Arial" w:cs="Arial"/>
          <w:sz w:val="22"/>
        </w:rPr>
        <w:t>лан</w:t>
      </w:r>
      <w:r w:rsidRPr="00645D3C">
        <w:rPr>
          <w:rFonts w:ascii="Arial" w:hAnsi="Arial" w:cs="Arial"/>
          <w:sz w:val="22"/>
          <w:lang w:val="sr-Cyrl-RS"/>
        </w:rPr>
        <w:t>у</w:t>
      </w:r>
      <w:r w:rsidR="00645D3C" w:rsidRPr="00645D3C">
        <w:rPr>
          <w:rFonts w:ascii="Arial" w:hAnsi="Arial" w:cs="Arial"/>
          <w:sz w:val="22"/>
        </w:rPr>
        <w:t xml:space="preserve"> пословања за 20</w:t>
      </w:r>
      <w:r w:rsidR="00645D3C" w:rsidRPr="00645D3C">
        <w:rPr>
          <w:rFonts w:ascii="Arial" w:hAnsi="Arial" w:cs="Arial"/>
          <w:sz w:val="22"/>
          <w:lang w:val="sr-Cyrl-BA"/>
        </w:rPr>
        <w:t>20</w:t>
      </w:r>
      <w:r w:rsidRPr="00645D3C">
        <w:rPr>
          <w:rFonts w:ascii="Arial" w:hAnsi="Arial" w:cs="Arial"/>
          <w:sz w:val="22"/>
        </w:rPr>
        <w:t xml:space="preserve">. </w:t>
      </w:r>
      <w:proofErr w:type="gramStart"/>
      <w:r w:rsidRPr="00645D3C">
        <w:rPr>
          <w:rFonts w:ascii="Arial" w:hAnsi="Arial" w:cs="Arial"/>
          <w:sz w:val="22"/>
        </w:rPr>
        <w:t>годину</w:t>
      </w:r>
      <w:proofErr w:type="gramEnd"/>
      <w:r w:rsidRPr="00645D3C">
        <w:rPr>
          <w:rFonts w:ascii="Arial" w:hAnsi="Arial" w:cs="Arial"/>
          <w:sz w:val="22"/>
        </w:rPr>
        <w:t xml:space="preserve"> </w:t>
      </w:r>
      <w:r w:rsidRPr="00645D3C">
        <w:rPr>
          <w:rFonts w:ascii="Arial" w:hAnsi="Arial" w:cs="Arial"/>
          <w:sz w:val="22"/>
          <w:lang w:val="sr-Cyrl-RS"/>
        </w:rPr>
        <w:t xml:space="preserve">процјењена је на </w:t>
      </w:r>
      <w:r w:rsidR="00C751C5" w:rsidRPr="00645D3C">
        <w:rPr>
          <w:rFonts w:ascii="Arial" w:hAnsi="Arial" w:cs="Arial"/>
          <w:sz w:val="22"/>
          <w:lang w:val="sr-Cyrl-CS"/>
        </w:rPr>
        <w:t xml:space="preserve">износ </w:t>
      </w:r>
      <w:r w:rsidR="00C751C5" w:rsidRPr="000C5A92">
        <w:rPr>
          <w:rFonts w:ascii="Arial" w:hAnsi="Arial" w:cs="Arial"/>
          <w:sz w:val="22"/>
          <w:lang w:val="sr-Cyrl-CS"/>
        </w:rPr>
        <w:t xml:space="preserve">од </w:t>
      </w:r>
      <w:r w:rsidRPr="000C5A92">
        <w:rPr>
          <w:rFonts w:ascii="Arial" w:hAnsi="Arial" w:cs="Arial"/>
          <w:sz w:val="22"/>
          <w:lang w:val="sr-Cyrl-CS"/>
        </w:rPr>
        <w:t xml:space="preserve"> </w:t>
      </w:r>
      <w:r w:rsidR="006305B0">
        <w:rPr>
          <w:rFonts w:ascii="Arial" w:hAnsi="Arial" w:cs="Arial"/>
          <w:sz w:val="22"/>
          <w:lang w:val="sr-Latn-RS"/>
        </w:rPr>
        <w:t>253,9</w:t>
      </w:r>
      <w:r w:rsidR="0098718D" w:rsidRPr="000C5A92">
        <w:rPr>
          <w:rFonts w:ascii="Arial" w:hAnsi="Arial" w:cs="Arial"/>
          <w:sz w:val="22"/>
          <w:lang w:val="sr-Latn-RS"/>
        </w:rPr>
        <w:t xml:space="preserve"> </w:t>
      </w:r>
      <w:r w:rsidRPr="000C5A92">
        <w:rPr>
          <w:rFonts w:ascii="Arial" w:hAnsi="Arial" w:cs="Arial"/>
          <w:sz w:val="22"/>
          <w:lang w:val="sr-Cyrl-CS"/>
        </w:rPr>
        <w:t>мил. КМ, од чега</w:t>
      </w:r>
      <w:r w:rsidRPr="000C5A92">
        <w:rPr>
          <w:rFonts w:ascii="Arial" w:hAnsi="Arial" w:cs="Arial"/>
          <w:sz w:val="22"/>
          <w:lang w:val="sr-Latn-CS"/>
        </w:rPr>
        <w:t>:</w:t>
      </w:r>
    </w:p>
    <w:p w:rsidR="005A77A9" w:rsidRPr="000C5A92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0C5A92" w:rsidRDefault="00D74ACB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0C5A92">
        <w:rPr>
          <w:rFonts w:ascii="Arial" w:hAnsi="Arial" w:cs="Arial"/>
          <w:sz w:val="22"/>
          <w:lang w:val="sr-Cyrl-CS"/>
        </w:rPr>
        <w:t xml:space="preserve">Нематеријална улагања </w:t>
      </w:r>
      <w:r w:rsidR="0098718D" w:rsidRPr="000C5A92">
        <w:rPr>
          <w:rFonts w:ascii="Arial" w:hAnsi="Arial" w:cs="Arial"/>
          <w:sz w:val="22"/>
          <w:lang w:val="sr-Latn-RS"/>
        </w:rPr>
        <w:t>3,</w:t>
      </w:r>
      <w:r w:rsidR="000C5A92" w:rsidRPr="000C5A92">
        <w:rPr>
          <w:rFonts w:ascii="Arial" w:hAnsi="Arial" w:cs="Arial"/>
          <w:sz w:val="22"/>
          <w:lang w:val="sr-Latn-RS"/>
        </w:rPr>
        <w:t>7</w:t>
      </w:r>
      <w:r w:rsidR="006305B0">
        <w:rPr>
          <w:rFonts w:ascii="Arial" w:hAnsi="Arial" w:cs="Arial"/>
          <w:sz w:val="22"/>
          <w:lang w:val="sr-Latn-RS"/>
        </w:rPr>
        <w:t>9</w:t>
      </w:r>
      <w:r w:rsidR="005A77A9" w:rsidRPr="000C5A92">
        <w:rPr>
          <w:rFonts w:ascii="Arial" w:hAnsi="Arial" w:cs="Arial"/>
          <w:sz w:val="22"/>
          <w:lang w:val="sr-Cyrl-CS"/>
        </w:rPr>
        <w:t xml:space="preserve"> мил. КМ</w:t>
      </w:r>
    </w:p>
    <w:p w:rsidR="005A77A9" w:rsidRPr="00645D3C" w:rsidRDefault="00BF0A42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0C5A92">
        <w:rPr>
          <w:rFonts w:ascii="Arial" w:hAnsi="Arial" w:cs="Arial"/>
          <w:sz w:val="22"/>
          <w:lang w:val="sr-Cyrl-CS"/>
        </w:rPr>
        <w:t>Некретнине, постројења, опрема</w:t>
      </w:r>
      <w:r w:rsidR="00D74ACB" w:rsidRPr="000C5A92">
        <w:rPr>
          <w:rFonts w:ascii="Arial" w:hAnsi="Arial" w:cs="Arial"/>
          <w:sz w:val="22"/>
          <w:lang w:val="sr-Cyrl-CS"/>
        </w:rPr>
        <w:t xml:space="preserve"> </w:t>
      </w:r>
      <w:r w:rsidR="005A77A9" w:rsidRPr="000C5A92">
        <w:rPr>
          <w:rFonts w:ascii="Arial" w:hAnsi="Arial" w:cs="Arial"/>
          <w:sz w:val="22"/>
          <w:lang w:val="sr-Cyrl-CS"/>
        </w:rPr>
        <w:t xml:space="preserve"> </w:t>
      </w:r>
      <w:r w:rsidR="006305B0">
        <w:rPr>
          <w:rFonts w:ascii="Arial" w:hAnsi="Arial" w:cs="Arial"/>
          <w:sz w:val="22"/>
          <w:lang w:val="sr-Latn-RS"/>
        </w:rPr>
        <w:t>245,5</w:t>
      </w:r>
      <w:r w:rsidR="008B0FAF">
        <w:rPr>
          <w:rFonts w:ascii="Arial" w:hAnsi="Arial" w:cs="Arial"/>
          <w:sz w:val="22"/>
          <w:lang w:val="sr-Latn-RS"/>
        </w:rPr>
        <w:t>5</w:t>
      </w:r>
      <w:r w:rsidR="0098718D" w:rsidRPr="000C5A92">
        <w:rPr>
          <w:rFonts w:ascii="Arial" w:hAnsi="Arial" w:cs="Arial"/>
          <w:sz w:val="22"/>
          <w:lang w:val="sr-Latn-RS"/>
        </w:rPr>
        <w:t xml:space="preserve"> </w:t>
      </w:r>
      <w:r w:rsidR="005A77A9" w:rsidRPr="000C5A92">
        <w:rPr>
          <w:rFonts w:ascii="Arial" w:hAnsi="Arial" w:cs="Arial"/>
          <w:sz w:val="22"/>
          <w:lang w:val="sr-Cyrl-CS"/>
        </w:rPr>
        <w:t>мил</w:t>
      </w:r>
      <w:r w:rsidR="005A77A9" w:rsidRPr="00645D3C">
        <w:rPr>
          <w:rFonts w:ascii="Arial" w:hAnsi="Arial" w:cs="Arial"/>
          <w:sz w:val="22"/>
          <w:lang w:val="sr-Cyrl-CS"/>
        </w:rPr>
        <w:t xml:space="preserve">. КМ </w:t>
      </w:r>
    </w:p>
    <w:p w:rsidR="005A77A9" w:rsidRPr="00645D3C" w:rsidRDefault="005A77A9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sz w:val="22"/>
          <w:lang w:val="sr-Cyrl-CS"/>
        </w:rPr>
        <w:t xml:space="preserve">Средства </w:t>
      </w:r>
      <w:r w:rsidR="00D74ACB" w:rsidRPr="00645D3C">
        <w:rPr>
          <w:rFonts w:ascii="Arial" w:hAnsi="Arial" w:cs="Arial"/>
          <w:sz w:val="22"/>
          <w:lang w:val="sr-Cyrl-CS"/>
        </w:rPr>
        <w:t xml:space="preserve">културе </w:t>
      </w:r>
      <w:r w:rsidRPr="00645D3C">
        <w:rPr>
          <w:rFonts w:ascii="Arial" w:hAnsi="Arial" w:cs="Arial"/>
          <w:sz w:val="22"/>
          <w:lang w:val="sr-Cyrl-CS"/>
        </w:rPr>
        <w:t xml:space="preserve"> </w:t>
      </w:r>
      <w:r w:rsidR="0098718D" w:rsidRPr="00645D3C">
        <w:rPr>
          <w:rFonts w:ascii="Arial" w:hAnsi="Arial" w:cs="Arial"/>
          <w:sz w:val="22"/>
          <w:lang w:val="sr-Latn-RS"/>
        </w:rPr>
        <w:t>1</w:t>
      </w:r>
      <w:r w:rsidR="0067013E" w:rsidRPr="00645D3C">
        <w:rPr>
          <w:rFonts w:ascii="Arial" w:hAnsi="Arial" w:cs="Arial"/>
          <w:sz w:val="22"/>
          <w:lang w:val="sr-Cyrl-BA"/>
        </w:rPr>
        <w:t>4</w:t>
      </w:r>
      <w:r w:rsidR="0098718D" w:rsidRPr="00645D3C">
        <w:rPr>
          <w:rFonts w:ascii="Arial" w:hAnsi="Arial" w:cs="Arial"/>
          <w:sz w:val="22"/>
          <w:lang w:val="sr-Latn-RS"/>
        </w:rPr>
        <w:t>.</w:t>
      </w:r>
      <w:r w:rsidR="0067013E" w:rsidRPr="00645D3C">
        <w:rPr>
          <w:rFonts w:ascii="Arial" w:hAnsi="Arial" w:cs="Arial"/>
          <w:sz w:val="22"/>
          <w:lang w:val="sr-Cyrl-BA"/>
        </w:rPr>
        <w:t xml:space="preserve">647 </w:t>
      </w:r>
      <w:r w:rsidRPr="00645D3C">
        <w:rPr>
          <w:rFonts w:ascii="Arial" w:hAnsi="Arial" w:cs="Arial"/>
          <w:sz w:val="22"/>
          <w:lang w:val="sr-Cyrl-CS"/>
        </w:rPr>
        <w:t>КМ</w:t>
      </w:r>
    </w:p>
    <w:p w:rsidR="008B0FAF" w:rsidRPr="008B0FAF" w:rsidRDefault="005A77A9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sz w:val="22"/>
          <w:lang w:val="sr-Cyrl-CS"/>
        </w:rPr>
        <w:t>Дуг</w:t>
      </w:r>
      <w:r w:rsidR="00D74ACB" w:rsidRPr="00645D3C">
        <w:rPr>
          <w:rFonts w:ascii="Arial" w:hAnsi="Arial" w:cs="Arial"/>
          <w:sz w:val="22"/>
          <w:lang w:val="sr-Cyrl-CS"/>
        </w:rPr>
        <w:t xml:space="preserve">орочни финансијски пласмани </w:t>
      </w:r>
      <w:r w:rsidR="00E503CC" w:rsidRPr="000C5A92">
        <w:rPr>
          <w:rFonts w:ascii="Arial" w:hAnsi="Arial" w:cs="Arial"/>
          <w:sz w:val="22"/>
        </w:rPr>
        <w:t>2</w:t>
      </w:r>
      <w:r w:rsidR="00F7184A" w:rsidRPr="000C5A92">
        <w:rPr>
          <w:rFonts w:ascii="Arial" w:hAnsi="Arial" w:cs="Arial"/>
          <w:sz w:val="22"/>
        </w:rPr>
        <w:t>.</w:t>
      </w:r>
      <w:r w:rsidR="000C5A92" w:rsidRPr="000C5A92">
        <w:rPr>
          <w:rFonts w:ascii="Arial" w:hAnsi="Arial" w:cs="Arial"/>
          <w:sz w:val="22"/>
          <w:lang w:val="sr-Latn-BA"/>
        </w:rPr>
        <w:t xml:space="preserve">9 </w:t>
      </w:r>
      <w:r w:rsidR="000C5A92" w:rsidRPr="000C5A92">
        <w:rPr>
          <w:rFonts w:ascii="Arial" w:hAnsi="Arial" w:cs="Arial"/>
          <w:sz w:val="22"/>
          <w:lang w:val="sr-Cyrl-BA"/>
        </w:rPr>
        <w:t>мил</w:t>
      </w:r>
      <w:r w:rsidR="000C5A92">
        <w:rPr>
          <w:rFonts w:ascii="Arial" w:hAnsi="Arial" w:cs="Arial"/>
          <w:sz w:val="22"/>
          <w:lang w:val="sr-Cyrl-BA"/>
        </w:rPr>
        <w:t>.</w:t>
      </w:r>
      <w:r w:rsidRPr="00645D3C">
        <w:rPr>
          <w:rFonts w:ascii="Arial" w:hAnsi="Arial" w:cs="Arial"/>
          <w:sz w:val="22"/>
          <w:lang w:val="sr-Cyrl-CS"/>
        </w:rPr>
        <w:t xml:space="preserve"> КМ</w:t>
      </w:r>
    </w:p>
    <w:p w:rsidR="005A77A9" w:rsidRPr="00645D3C" w:rsidRDefault="008B0FAF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BA"/>
        </w:rPr>
        <w:t>Одложена пореска средства 1,647 мил</w:t>
      </w:r>
      <w:r w:rsidR="000C5A92">
        <w:rPr>
          <w:rFonts w:ascii="Arial" w:hAnsi="Arial" w:cs="Arial"/>
          <w:sz w:val="22"/>
          <w:lang w:val="sr-Cyrl-CS"/>
        </w:rPr>
        <w:t>.</w:t>
      </w:r>
    </w:p>
    <w:p w:rsidR="00981F23" w:rsidRPr="00622E81" w:rsidRDefault="00981F23" w:rsidP="005A77A9">
      <w:pPr>
        <w:jc w:val="both"/>
        <w:rPr>
          <w:rFonts w:ascii="Arial" w:hAnsi="Arial" w:cs="Arial"/>
          <w:sz w:val="22"/>
          <w:highlight w:val="yellow"/>
          <w:lang w:val="sr-Cyrl-BA"/>
        </w:rPr>
      </w:pPr>
    </w:p>
    <w:p w:rsidR="005A77A9" w:rsidRPr="00645D3C" w:rsidRDefault="00981F23" w:rsidP="005A77A9">
      <w:pPr>
        <w:jc w:val="both"/>
        <w:rPr>
          <w:rFonts w:ascii="Arial" w:hAnsi="Arial" w:cs="Arial"/>
          <w:sz w:val="22"/>
          <w:lang w:val="sr-Cyrl-BA"/>
        </w:rPr>
      </w:pPr>
      <w:r w:rsidRPr="00645D3C">
        <w:rPr>
          <w:rFonts w:ascii="Arial" w:hAnsi="Arial" w:cs="Arial"/>
          <w:sz w:val="22"/>
          <w:lang w:val="sr-Cyrl-BA"/>
        </w:rPr>
        <w:t xml:space="preserve">Приликом планирања износа </w:t>
      </w:r>
      <w:r w:rsidR="000B2F9D" w:rsidRPr="00645D3C">
        <w:rPr>
          <w:rFonts w:ascii="Arial" w:hAnsi="Arial" w:cs="Arial"/>
          <w:sz w:val="22"/>
          <w:lang w:val="sr-Cyrl-BA"/>
        </w:rPr>
        <w:t>сталних</w:t>
      </w:r>
      <w:r w:rsidRPr="00645D3C">
        <w:rPr>
          <w:rFonts w:ascii="Arial" w:hAnsi="Arial" w:cs="Arial"/>
          <w:sz w:val="22"/>
          <w:lang w:val="sr-Cyrl-BA"/>
        </w:rPr>
        <w:t xml:space="preserve"> средстава узели смо у обзир процјењену вриједност средстава на дан 31.12.201</w:t>
      </w:r>
      <w:r w:rsidR="00645D3C">
        <w:rPr>
          <w:rFonts w:ascii="Arial" w:hAnsi="Arial" w:cs="Arial"/>
          <w:sz w:val="22"/>
          <w:lang w:val="sr-Cyrl-BA"/>
        </w:rPr>
        <w:t>9</w:t>
      </w:r>
      <w:r w:rsidRPr="00645D3C">
        <w:rPr>
          <w:rFonts w:ascii="Arial" w:hAnsi="Arial" w:cs="Arial"/>
          <w:sz w:val="22"/>
          <w:lang w:val="sr-Cyrl-BA"/>
        </w:rPr>
        <w:t>. године, процјењену амортизацију и планиране инвестициј</w:t>
      </w:r>
      <w:r w:rsidR="00645D3C" w:rsidRPr="00645D3C">
        <w:rPr>
          <w:rFonts w:ascii="Arial" w:hAnsi="Arial" w:cs="Arial"/>
          <w:sz w:val="22"/>
          <w:lang w:val="sr-Cyrl-BA"/>
        </w:rPr>
        <w:t>е према Плану инвестиција за 2020</w:t>
      </w:r>
      <w:r w:rsidRPr="00645D3C">
        <w:rPr>
          <w:rFonts w:ascii="Arial" w:hAnsi="Arial" w:cs="Arial"/>
          <w:sz w:val="22"/>
          <w:lang w:val="sr-Cyrl-BA"/>
        </w:rPr>
        <w:t>. годину.</w:t>
      </w:r>
    </w:p>
    <w:p w:rsidR="00981F23" w:rsidRPr="00622E81" w:rsidRDefault="00981F23" w:rsidP="005A77A9">
      <w:pPr>
        <w:jc w:val="both"/>
        <w:rPr>
          <w:rFonts w:ascii="Arial" w:hAnsi="Arial" w:cs="Arial"/>
          <w:sz w:val="22"/>
          <w:highlight w:val="yellow"/>
          <w:lang w:val="sr-Cyrl-BA"/>
        </w:rPr>
      </w:pPr>
    </w:p>
    <w:p w:rsidR="005A77A9" w:rsidRPr="00645D3C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b/>
          <w:sz w:val="22"/>
          <w:lang w:val="sr-Cyrl-CS"/>
        </w:rPr>
        <w:t>Обртна имовина</w:t>
      </w:r>
      <w:r w:rsidRPr="00645D3C">
        <w:rPr>
          <w:rFonts w:ascii="Arial" w:hAnsi="Arial" w:cs="Arial"/>
          <w:sz w:val="22"/>
          <w:lang w:val="sr-Cyrl-CS"/>
        </w:rPr>
        <w:t xml:space="preserve"> планирана је на основу књиговодствених података из биланса стања претходне године, коригована са очекиваним промјенама наредног периода и прекалкулисана са планираним степеном наплате. </w:t>
      </w:r>
    </w:p>
    <w:p w:rsidR="005A77A9" w:rsidRPr="00645D3C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645D3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b/>
          <w:bCs/>
          <w:sz w:val="22"/>
          <w:lang w:val="sr-Cyrl-CS"/>
        </w:rPr>
        <w:t xml:space="preserve">Стање залиха материјала </w:t>
      </w:r>
      <w:r w:rsidRPr="00645D3C">
        <w:rPr>
          <w:rFonts w:ascii="Arial" w:hAnsi="Arial" w:cs="Arial"/>
          <w:sz w:val="22"/>
          <w:lang w:val="sr-Cyrl-CS"/>
        </w:rPr>
        <w:t>на нивоу је потребних количина утврђених по оптимизираним нормативима ранијих пер</w:t>
      </w:r>
      <w:r w:rsidR="00981F23" w:rsidRPr="00645D3C">
        <w:rPr>
          <w:rFonts w:ascii="Arial" w:hAnsi="Arial" w:cs="Arial"/>
          <w:sz w:val="22"/>
          <w:lang w:val="sr-Cyrl-CS"/>
        </w:rPr>
        <w:t xml:space="preserve">иода и </w:t>
      </w:r>
      <w:r w:rsidR="000B2F9D" w:rsidRPr="00645D3C">
        <w:rPr>
          <w:rFonts w:ascii="Arial" w:hAnsi="Arial" w:cs="Arial"/>
          <w:sz w:val="22"/>
          <w:lang w:val="sr-Cyrl-CS"/>
        </w:rPr>
        <w:t>уз увжавање износа који ћ</w:t>
      </w:r>
      <w:r w:rsidR="00645D3C">
        <w:rPr>
          <w:rFonts w:ascii="Arial" w:hAnsi="Arial" w:cs="Arial"/>
          <w:sz w:val="22"/>
          <w:lang w:val="sr-Cyrl-CS"/>
        </w:rPr>
        <w:t>е се наћи у Плану набавки за 2020</w:t>
      </w:r>
      <w:r w:rsidR="000B2F9D" w:rsidRPr="00645D3C">
        <w:rPr>
          <w:rFonts w:ascii="Arial" w:hAnsi="Arial" w:cs="Arial"/>
          <w:sz w:val="22"/>
          <w:lang w:val="sr-Cyrl-CS"/>
        </w:rPr>
        <w:t>. годину.</w:t>
      </w:r>
    </w:p>
    <w:p w:rsidR="005A77A9" w:rsidRPr="00622E81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645D3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b/>
          <w:bCs/>
          <w:sz w:val="22"/>
          <w:lang w:val="sr-Cyrl-CS"/>
        </w:rPr>
        <w:t>Дати аванси</w:t>
      </w:r>
      <w:r w:rsidRPr="00645D3C">
        <w:rPr>
          <w:rFonts w:ascii="Arial" w:hAnsi="Arial" w:cs="Arial"/>
          <w:sz w:val="22"/>
          <w:lang w:val="sr-Cyrl-CS"/>
        </w:rPr>
        <w:t xml:space="preserve"> планирани су према предвиђеним условима пословања. </w:t>
      </w:r>
    </w:p>
    <w:p w:rsidR="005A77A9" w:rsidRPr="00622E81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645D3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645D3C">
        <w:rPr>
          <w:rFonts w:ascii="Arial" w:hAnsi="Arial" w:cs="Arial"/>
          <w:b/>
          <w:sz w:val="22"/>
          <w:lang w:val="sr-Cyrl-CS"/>
        </w:rPr>
        <w:t>Краткорочна потраживања</w:t>
      </w:r>
      <w:r w:rsidRPr="00645D3C">
        <w:rPr>
          <w:rFonts w:ascii="Arial" w:hAnsi="Arial" w:cs="Arial"/>
          <w:sz w:val="22"/>
          <w:lang w:val="sr-Cyrl-CS"/>
        </w:rPr>
        <w:t xml:space="preserve"> односе се на потраживања од купаца за електричну енергију планирану на основу кумулативног степена наплате и наплате потраживања из ранијих периода. Планирани проценат наплате према Смјерницама за израду Плана пословања у 20</w:t>
      </w:r>
      <w:r w:rsidR="00645D3C" w:rsidRPr="00645D3C">
        <w:rPr>
          <w:rFonts w:ascii="Arial" w:hAnsi="Arial" w:cs="Arial"/>
          <w:sz w:val="22"/>
          <w:lang w:val="sr-Cyrl-BA"/>
        </w:rPr>
        <w:t>20</w:t>
      </w:r>
      <w:r w:rsidRPr="00645D3C">
        <w:rPr>
          <w:rFonts w:ascii="Arial" w:hAnsi="Arial" w:cs="Arial"/>
          <w:sz w:val="22"/>
          <w:lang w:val="sr-Cyrl-CS"/>
        </w:rPr>
        <w:t xml:space="preserve">. години је 100%. </w:t>
      </w:r>
    </w:p>
    <w:p w:rsidR="005A77A9" w:rsidRPr="00645D3C" w:rsidRDefault="005A77A9" w:rsidP="005A77A9">
      <w:pPr>
        <w:jc w:val="both"/>
        <w:rPr>
          <w:rFonts w:ascii="Arial" w:hAnsi="Arial" w:cs="Arial"/>
          <w:bCs/>
          <w:iCs/>
          <w:sz w:val="22"/>
          <w:lang w:val="sr-Cyrl-CS"/>
        </w:rPr>
      </w:pPr>
    </w:p>
    <w:p w:rsidR="00BF0A42" w:rsidRPr="00622E81" w:rsidRDefault="00BF0A42" w:rsidP="005A77A9">
      <w:pPr>
        <w:jc w:val="both"/>
        <w:rPr>
          <w:rFonts w:ascii="Arial" w:hAnsi="Arial" w:cs="Arial"/>
          <w:bCs/>
          <w:iCs/>
          <w:sz w:val="22"/>
          <w:highlight w:val="yellow"/>
          <w:lang w:val="sr-Cyrl-CS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F2066C">
      <w:pPr>
        <w:pStyle w:val="Caption"/>
        <w:rPr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622E81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631D71" w:rsidRPr="00622E81" w:rsidRDefault="00631D71" w:rsidP="00631D71">
      <w:pPr>
        <w:pStyle w:val="Caption"/>
        <w:rPr>
          <w:rFonts w:ascii="Arial" w:hAnsi="Arial" w:cs="Arial"/>
          <w:b w:val="0"/>
          <w:highlight w:val="yellow"/>
        </w:rPr>
      </w:pPr>
    </w:p>
    <w:p w:rsidR="000E6101" w:rsidRPr="00622E81" w:rsidRDefault="000E6101" w:rsidP="00864944">
      <w:pPr>
        <w:spacing w:after="200" w:line="276" w:lineRule="auto"/>
        <w:jc w:val="center"/>
        <w:rPr>
          <w:rFonts w:ascii="Arial" w:hAnsi="Arial" w:cs="Arial"/>
          <w:iCs/>
          <w:sz w:val="22"/>
          <w:highlight w:val="yellow"/>
          <w:lang w:val="sr-Cyrl-RS"/>
        </w:rPr>
      </w:pPr>
      <w:r w:rsidRPr="00622E81">
        <w:rPr>
          <w:rFonts w:ascii="Arial" w:hAnsi="Arial" w:cs="Arial"/>
          <w:iCs/>
          <w:sz w:val="22"/>
          <w:highlight w:val="yellow"/>
          <w:lang w:val="sr-Latn-RS"/>
        </w:rPr>
        <w:br w:type="page"/>
      </w:r>
    </w:p>
    <w:bookmarkStart w:id="149" w:name="_Toc505000343"/>
    <w:bookmarkStart w:id="150" w:name="_Toc505001158"/>
    <w:bookmarkStart w:id="151" w:name="_Toc505146403"/>
    <w:bookmarkStart w:id="152" w:name="_Toc506293281"/>
    <w:bookmarkStart w:id="153" w:name="_Toc506293315"/>
    <w:bookmarkStart w:id="154" w:name="_Toc506293444"/>
    <w:bookmarkStart w:id="155" w:name="_Toc481062266"/>
    <w:p w:rsidR="00F2066C" w:rsidRPr="00645D3C" w:rsidRDefault="005A77A9" w:rsidP="000C5A92">
      <w:r w:rsidRPr="00B1333A">
        <w:rPr>
          <w:noProof/>
          <w:lang w:val="sr-Latn-BA" w:eastAsia="sr-Latn-B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3269B" wp14:editId="6D2CC1C7">
                <wp:simplePos x="0" y="0"/>
                <wp:positionH relativeFrom="column">
                  <wp:posOffset>2628900</wp:posOffset>
                </wp:positionH>
                <wp:positionV relativeFrom="paragraph">
                  <wp:posOffset>639445</wp:posOffset>
                </wp:positionV>
                <wp:extent cx="342900" cy="342900"/>
                <wp:effectExtent l="0" t="0" r="254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54A" w:rsidRDefault="00E4454A" w:rsidP="005A77A9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07pt;margin-top:50.3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KIswIAAL8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" filled="f" stroked="f">
                <v:textbox>
                  <w:txbxContent>
                    <w:p w:rsidR="00E4454A" w:rsidRDefault="00E4454A" w:rsidP="005A77A9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333A">
        <w:t xml:space="preserve"> </w:t>
      </w:r>
      <w:r w:rsidR="00B1333A" w:rsidRPr="00645D3C">
        <w:rPr>
          <w:rFonts w:ascii="Arial" w:hAnsi="Arial" w:cs="Arial"/>
          <w:b/>
          <w:sz w:val="22"/>
          <w:szCs w:val="22"/>
          <w:u w:val="single"/>
          <w:lang w:val="sr-Cyrl-BA"/>
        </w:rPr>
        <w:t xml:space="preserve">2. </w:t>
      </w:r>
      <w:r w:rsidR="00E61D34" w:rsidRPr="00645D3C">
        <w:rPr>
          <w:rFonts w:ascii="Arial" w:hAnsi="Arial" w:cs="Arial"/>
          <w:b/>
          <w:sz w:val="22"/>
          <w:szCs w:val="22"/>
          <w:u w:val="single"/>
          <w:lang w:val="sr-Cyrl-BA"/>
        </w:rPr>
        <w:t xml:space="preserve"> </w:t>
      </w:r>
      <w:r w:rsidR="005222AB" w:rsidRPr="00645D3C">
        <w:rPr>
          <w:rFonts w:ascii="Arial" w:hAnsi="Arial" w:cs="Arial"/>
          <w:b/>
          <w:sz w:val="22"/>
          <w:szCs w:val="22"/>
          <w:u w:val="single"/>
          <w:lang w:val="sr-Cyrl-BA"/>
        </w:rPr>
        <w:t xml:space="preserve">Планирана </w:t>
      </w:r>
      <w:r w:rsidR="00E61D34" w:rsidRPr="00645D3C">
        <w:rPr>
          <w:rFonts w:ascii="Arial" w:hAnsi="Arial" w:cs="Arial"/>
          <w:b/>
          <w:sz w:val="22"/>
          <w:szCs w:val="22"/>
          <w:u w:val="single"/>
          <w:lang w:val="sr-Cyrl-RS"/>
        </w:rPr>
        <w:t>п</w:t>
      </w:r>
      <w:r w:rsidR="00B10AE9" w:rsidRPr="00645D3C">
        <w:rPr>
          <w:rFonts w:ascii="Arial" w:hAnsi="Arial" w:cs="Arial"/>
          <w:b/>
          <w:sz w:val="22"/>
          <w:szCs w:val="22"/>
          <w:u w:val="single"/>
        </w:rPr>
        <w:t>асива Предузећа за 20</w:t>
      </w:r>
      <w:r w:rsidR="00B10AE9" w:rsidRPr="00645D3C">
        <w:rPr>
          <w:rFonts w:ascii="Arial" w:hAnsi="Arial" w:cs="Arial"/>
          <w:b/>
          <w:sz w:val="22"/>
          <w:szCs w:val="22"/>
          <w:u w:val="single"/>
          <w:lang w:val="sr-Latn-BA"/>
        </w:rPr>
        <w:t>20</w:t>
      </w:r>
      <w:r w:rsidRPr="00645D3C">
        <w:rPr>
          <w:rFonts w:ascii="Arial" w:hAnsi="Arial" w:cs="Arial"/>
          <w:b/>
          <w:sz w:val="22"/>
          <w:szCs w:val="22"/>
          <w:u w:val="single"/>
        </w:rPr>
        <w:t xml:space="preserve"> годину</w:t>
      </w:r>
      <w:bookmarkEnd w:id="149"/>
      <w:bookmarkEnd w:id="150"/>
      <w:bookmarkEnd w:id="151"/>
      <w:bookmarkEnd w:id="152"/>
      <w:bookmarkEnd w:id="153"/>
      <w:bookmarkEnd w:id="154"/>
      <w:bookmarkEnd w:id="155"/>
      <w:r w:rsidRPr="00645D3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A77A9" w:rsidRDefault="00F2066C" w:rsidP="000C5A92">
      <w:pPr>
        <w:pStyle w:val="Caption"/>
        <w:keepNext/>
        <w:rPr>
          <w:noProof/>
          <w:lang w:val="sr-Cyrl-BA" w:eastAsia="sr-Latn-BA"/>
        </w:rPr>
      </w:pPr>
      <w:bookmarkStart w:id="156" w:name="_Toc482180885"/>
      <w:bookmarkStart w:id="157" w:name="_Toc33694933"/>
      <w:r>
        <w:t xml:space="preserve">Табела </w:t>
      </w:r>
      <w:r>
        <w:fldChar w:fldCharType="begin"/>
      </w:r>
      <w:r>
        <w:instrText xml:space="preserve"> SEQ Табела \* ARABIC </w:instrText>
      </w:r>
      <w:r>
        <w:fldChar w:fldCharType="separate"/>
      </w:r>
      <w:r w:rsidR="008D5749">
        <w:rPr>
          <w:noProof/>
        </w:rPr>
        <w:t>10</w:t>
      </w:r>
      <w:r>
        <w:fldChar w:fldCharType="end"/>
      </w:r>
      <w:r>
        <w:rPr>
          <w:lang w:val="sr-Cyrl-BA"/>
        </w:rPr>
        <w:t xml:space="preserve"> </w:t>
      </w:r>
      <w:r w:rsidRPr="00F2066C">
        <w:rPr>
          <w:rFonts w:ascii="Arial" w:hAnsi="Arial" w:cs="Arial"/>
          <w:lang w:val="sr-Cyrl-BA"/>
        </w:rPr>
        <w:t xml:space="preserve">Плански биланс стања </w:t>
      </w:r>
      <w:r>
        <w:rPr>
          <w:rFonts w:ascii="Arial" w:hAnsi="Arial" w:cs="Arial"/>
          <w:lang w:val="sr-Cyrl-BA"/>
        </w:rPr>
        <w:t>–</w:t>
      </w:r>
      <w:r w:rsidRPr="00F2066C">
        <w:rPr>
          <w:rFonts w:ascii="Arial" w:hAnsi="Arial" w:cs="Arial"/>
          <w:lang w:val="sr-Cyrl-BA"/>
        </w:rPr>
        <w:t xml:space="preserve"> ПАСИВА</w:t>
      </w:r>
      <w:bookmarkEnd w:id="156"/>
      <w:bookmarkEnd w:id="157"/>
    </w:p>
    <w:p w:rsidR="008B0FAF" w:rsidRPr="008B0FAF" w:rsidRDefault="006305B0" w:rsidP="008B0FAF">
      <w:pPr>
        <w:rPr>
          <w:lang w:val="sr-Cyrl-BA" w:eastAsia="sr-Latn-BA"/>
        </w:rPr>
      </w:pPr>
      <w:r w:rsidRPr="006305B0">
        <w:rPr>
          <w:noProof/>
          <w:lang w:val="sr-Latn-BA" w:eastAsia="sr-Latn-BA"/>
        </w:rPr>
        <w:drawing>
          <wp:inline distT="0" distB="0" distL="0" distR="0">
            <wp:extent cx="4159336" cy="815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983" cy="815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92" w:rsidRDefault="000C5A92" w:rsidP="005A77A9">
      <w:pPr>
        <w:jc w:val="both"/>
        <w:rPr>
          <w:rFonts w:ascii="Arial" w:hAnsi="Arial" w:cs="Arial"/>
          <w:sz w:val="22"/>
          <w:lang w:val="sr-Cyrl-BA"/>
        </w:rPr>
      </w:pPr>
    </w:p>
    <w:p w:rsidR="00030E18" w:rsidRPr="006305B0" w:rsidRDefault="005A77A9" w:rsidP="005A77A9">
      <w:pPr>
        <w:jc w:val="both"/>
        <w:rPr>
          <w:rFonts w:ascii="Arial" w:hAnsi="Arial" w:cs="Arial"/>
          <w:sz w:val="22"/>
          <w:lang w:val="sr-Cyrl-BA"/>
        </w:rPr>
      </w:pPr>
      <w:proofErr w:type="gramStart"/>
      <w:r w:rsidRPr="005A77A9">
        <w:rPr>
          <w:rFonts w:ascii="Arial" w:hAnsi="Arial" w:cs="Arial"/>
          <w:sz w:val="22"/>
        </w:rPr>
        <w:t>Вр</w:t>
      </w:r>
      <w:r w:rsidRPr="005A77A9">
        <w:rPr>
          <w:rFonts w:ascii="Arial" w:hAnsi="Arial" w:cs="Arial"/>
          <w:sz w:val="22"/>
          <w:lang w:val="sr-Cyrl-CS"/>
        </w:rPr>
        <w:t xml:space="preserve">иједност </w:t>
      </w:r>
      <w:r w:rsidRPr="005A77A9">
        <w:rPr>
          <w:rFonts w:ascii="Arial" w:hAnsi="Arial" w:cs="Arial"/>
          <w:b/>
          <w:bCs/>
          <w:sz w:val="22"/>
        </w:rPr>
        <w:t>основног</w:t>
      </w:r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b/>
          <w:bCs/>
          <w:sz w:val="22"/>
          <w:lang w:val="sr-Cyrl-CS"/>
        </w:rPr>
        <w:t>капитала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</w:rPr>
        <w:t xml:space="preserve">износи </w:t>
      </w:r>
      <w:r w:rsidR="006305B0">
        <w:rPr>
          <w:rFonts w:ascii="Arial" w:hAnsi="Arial" w:cs="Arial"/>
          <w:sz w:val="22"/>
        </w:rPr>
        <w:t>46</w:t>
      </w:r>
      <w:r w:rsidR="00CA785E">
        <w:rPr>
          <w:rFonts w:ascii="Arial" w:hAnsi="Arial" w:cs="Arial"/>
          <w:sz w:val="22"/>
          <w:lang w:val="sr-Cyrl-BA"/>
        </w:rPr>
        <w:t>.</w:t>
      </w:r>
      <w:r w:rsidR="00023E47">
        <w:rPr>
          <w:rFonts w:ascii="Arial" w:hAnsi="Arial" w:cs="Arial"/>
          <w:sz w:val="22"/>
        </w:rPr>
        <w:t>4</w:t>
      </w:r>
      <w:r w:rsidR="00CA785E">
        <w:rPr>
          <w:rFonts w:ascii="Arial" w:hAnsi="Arial" w:cs="Arial"/>
          <w:sz w:val="22"/>
          <w:lang w:val="sr-Cyrl-BA"/>
        </w:rPr>
        <w:t>86.953</w:t>
      </w:r>
      <w:r w:rsidR="006305B0">
        <w:rPr>
          <w:rFonts w:ascii="Arial" w:hAnsi="Arial" w:cs="Arial"/>
          <w:sz w:val="22"/>
          <w:lang w:val="sr-Cyrl-CS"/>
        </w:rPr>
        <w:t xml:space="preserve"> КМ</w:t>
      </w:r>
      <w:r w:rsidR="006305B0">
        <w:rPr>
          <w:rFonts w:ascii="Arial" w:hAnsi="Arial" w:cs="Arial"/>
          <w:sz w:val="22"/>
          <w:lang w:val="sr-Latn-BA"/>
        </w:rPr>
        <w:t>.</w:t>
      </w:r>
      <w:proofErr w:type="gramEnd"/>
      <w:r w:rsidR="006305B0">
        <w:rPr>
          <w:rFonts w:ascii="Arial" w:hAnsi="Arial" w:cs="Arial"/>
          <w:sz w:val="22"/>
          <w:lang w:val="sr-Latn-BA"/>
        </w:rPr>
        <w:t xml:space="preserve"> </w:t>
      </w:r>
      <w:r w:rsidR="006305B0">
        <w:rPr>
          <w:rFonts w:ascii="Arial" w:hAnsi="Arial" w:cs="Arial"/>
          <w:sz w:val="22"/>
          <w:lang w:val="sr-Cyrl-BA"/>
        </w:rPr>
        <w:t>У 2020. години је планирана докапитализација предузећа и емисија нових хартија од вриједности у износу од 8 милиона КМ.</w:t>
      </w:r>
    </w:p>
    <w:p w:rsidR="00813858" w:rsidRPr="003647EA" w:rsidRDefault="00B1333A" w:rsidP="005A77A9">
      <w:pPr>
        <w:jc w:val="both"/>
        <w:rPr>
          <w:rFonts w:ascii="Arial" w:hAnsi="Arial" w:cs="Arial"/>
          <w:bCs/>
          <w:sz w:val="22"/>
          <w:lang w:val="sr-Cyrl-BA"/>
        </w:rPr>
      </w:pPr>
      <w:r>
        <w:rPr>
          <w:rFonts w:ascii="Arial" w:hAnsi="Arial" w:cs="Arial"/>
          <w:bCs/>
          <w:sz w:val="22"/>
          <w:lang w:val="sr-Cyrl-CS"/>
        </w:rPr>
        <w:t>Резерве П</w:t>
      </w:r>
      <w:r w:rsidR="00813858" w:rsidRPr="00B1333A">
        <w:rPr>
          <w:rFonts w:ascii="Arial" w:hAnsi="Arial" w:cs="Arial"/>
          <w:bCs/>
          <w:sz w:val="22"/>
          <w:lang w:val="sr-Cyrl-CS"/>
        </w:rPr>
        <w:t>редузећа</w:t>
      </w:r>
      <w:r>
        <w:rPr>
          <w:rFonts w:ascii="Arial" w:hAnsi="Arial" w:cs="Arial"/>
          <w:bCs/>
          <w:sz w:val="22"/>
          <w:lang w:val="sr-Cyrl-CS"/>
        </w:rPr>
        <w:t xml:space="preserve"> – Законске и Статутарне</w:t>
      </w:r>
      <w:r w:rsidR="00813858" w:rsidRPr="00B1333A">
        <w:rPr>
          <w:rFonts w:ascii="Arial" w:hAnsi="Arial" w:cs="Arial"/>
          <w:bCs/>
          <w:sz w:val="22"/>
          <w:lang w:val="sr-Cyrl-CS"/>
        </w:rPr>
        <w:t xml:space="preserve"> планиране су у </w:t>
      </w:r>
      <w:r w:rsidRPr="00B1333A">
        <w:rPr>
          <w:rFonts w:ascii="Arial" w:hAnsi="Arial" w:cs="Arial"/>
          <w:bCs/>
          <w:sz w:val="22"/>
          <w:lang w:val="sr-Cyrl-CS"/>
        </w:rPr>
        <w:t xml:space="preserve">складу са </w:t>
      </w:r>
      <w:r>
        <w:rPr>
          <w:rFonts w:ascii="Arial" w:hAnsi="Arial" w:cs="Arial"/>
          <w:bCs/>
          <w:sz w:val="22"/>
          <w:lang w:val="sr-Cyrl-CS"/>
        </w:rPr>
        <w:t xml:space="preserve">Статутом и </w:t>
      </w:r>
      <w:r w:rsidRPr="003647EA">
        <w:rPr>
          <w:rFonts w:ascii="Arial" w:hAnsi="Arial" w:cs="Arial"/>
          <w:bCs/>
          <w:sz w:val="22"/>
          <w:lang w:val="sr-Cyrl-CS"/>
        </w:rPr>
        <w:t xml:space="preserve">законским прописима док су Ревалоризационе резерве </w:t>
      </w:r>
      <w:r w:rsidR="004B4DCA" w:rsidRPr="003647EA">
        <w:rPr>
          <w:rFonts w:ascii="Arial" w:hAnsi="Arial" w:cs="Arial"/>
          <w:bCs/>
          <w:sz w:val="22"/>
          <w:lang w:val="sr-Cyrl-CS"/>
        </w:rPr>
        <w:t>планиране на основу</w:t>
      </w:r>
      <w:r w:rsidR="004B4DCA">
        <w:rPr>
          <w:rFonts w:ascii="Arial" w:hAnsi="Arial" w:cs="Arial"/>
          <w:bCs/>
          <w:sz w:val="22"/>
          <w:lang w:val="sr-Cyrl-CS"/>
        </w:rPr>
        <w:t xml:space="preserve"> </w:t>
      </w:r>
      <w:r w:rsidR="003647EA">
        <w:rPr>
          <w:rFonts w:ascii="Arial" w:hAnsi="Arial" w:cs="Arial"/>
          <w:bCs/>
          <w:sz w:val="22"/>
          <w:lang w:val="sr-Cyrl-BA"/>
        </w:rPr>
        <w:t xml:space="preserve">ефеката процјене основних средстава. </w:t>
      </w:r>
    </w:p>
    <w:p w:rsidR="00B1333A" w:rsidRDefault="00B1333A" w:rsidP="005A77A9">
      <w:pPr>
        <w:jc w:val="both"/>
        <w:rPr>
          <w:rFonts w:ascii="Arial" w:hAnsi="Arial" w:cs="Arial"/>
          <w:b/>
          <w:bCs/>
          <w:sz w:val="22"/>
          <w:lang w:val="sr-Cyrl-CS"/>
        </w:rPr>
      </w:pPr>
    </w:p>
    <w:p w:rsidR="005A77A9" w:rsidRPr="003647EA" w:rsidRDefault="005A77A9" w:rsidP="005A77A9">
      <w:pPr>
        <w:jc w:val="both"/>
        <w:rPr>
          <w:rFonts w:ascii="Arial" w:hAnsi="Arial" w:cs="Arial"/>
          <w:sz w:val="22"/>
        </w:rPr>
      </w:pPr>
      <w:r w:rsidRPr="003647EA">
        <w:rPr>
          <w:rFonts w:ascii="Arial" w:hAnsi="Arial" w:cs="Arial"/>
          <w:b/>
          <w:bCs/>
          <w:sz w:val="22"/>
          <w:lang w:val="sr-Cyrl-CS"/>
        </w:rPr>
        <w:t>Укупне Обавезе</w:t>
      </w:r>
      <w:r w:rsidRPr="003647EA">
        <w:rPr>
          <w:rFonts w:ascii="Arial" w:hAnsi="Arial" w:cs="Arial"/>
          <w:sz w:val="22"/>
          <w:lang w:val="sr-Cyrl-CS"/>
        </w:rPr>
        <w:t xml:space="preserve"> Предузећа у наредном периоду планиране су на следећи начин:</w:t>
      </w:r>
    </w:p>
    <w:p w:rsidR="005A77A9" w:rsidRPr="004B4DCA" w:rsidRDefault="005A77A9" w:rsidP="005A77A9">
      <w:pPr>
        <w:jc w:val="both"/>
        <w:rPr>
          <w:rFonts w:ascii="Arial" w:hAnsi="Arial" w:cs="Arial"/>
          <w:sz w:val="22"/>
          <w:highlight w:val="yellow"/>
        </w:rPr>
      </w:pPr>
    </w:p>
    <w:p w:rsidR="005A77A9" w:rsidRPr="003647EA" w:rsidRDefault="005A77A9" w:rsidP="0046227E">
      <w:pPr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3647EA">
        <w:rPr>
          <w:rFonts w:ascii="Arial" w:hAnsi="Arial" w:cs="Arial"/>
          <w:sz w:val="22"/>
        </w:rPr>
        <w:t xml:space="preserve">У </w:t>
      </w:r>
      <w:r w:rsidR="00B77318">
        <w:rPr>
          <w:rFonts w:ascii="Arial" w:hAnsi="Arial" w:cs="Arial"/>
          <w:sz w:val="22"/>
        </w:rPr>
        <w:t>20</w:t>
      </w:r>
      <w:r w:rsidR="00B77318">
        <w:rPr>
          <w:rFonts w:ascii="Arial" w:hAnsi="Arial" w:cs="Arial"/>
          <w:sz w:val="22"/>
          <w:lang w:val="sr-Cyrl-BA"/>
        </w:rPr>
        <w:t>20</w:t>
      </w:r>
      <w:r w:rsidR="00F7184A">
        <w:rPr>
          <w:rFonts w:ascii="Arial" w:hAnsi="Arial" w:cs="Arial"/>
          <w:sz w:val="22"/>
        </w:rPr>
        <w:t>.</w:t>
      </w:r>
      <w:r w:rsidRPr="003647EA">
        <w:rPr>
          <w:rFonts w:ascii="Arial" w:hAnsi="Arial" w:cs="Arial"/>
          <w:sz w:val="22"/>
        </w:rPr>
        <w:t xml:space="preserve"> </w:t>
      </w:r>
      <w:proofErr w:type="gramStart"/>
      <w:r w:rsidRPr="003647EA">
        <w:rPr>
          <w:rFonts w:ascii="Arial" w:hAnsi="Arial" w:cs="Arial"/>
          <w:sz w:val="22"/>
        </w:rPr>
        <w:t>години</w:t>
      </w:r>
      <w:proofErr w:type="gramEnd"/>
      <w:r w:rsidRPr="003647EA">
        <w:rPr>
          <w:rFonts w:ascii="Arial" w:hAnsi="Arial" w:cs="Arial"/>
          <w:sz w:val="22"/>
        </w:rPr>
        <w:t xml:space="preserve"> планирана је </w:t>
      </w:r>
      <w:r w:rsidR="004B4DCA" w:rsidRPr="003647EA">
        <w:rPr>
          <w:rFonts w:ascii="Arial" w:hAnsi="Arial" w:cs="Arial"/>
          <w:sz w:val="22"/>
          <w:lang w:val="sr-Cyrl-BA"/>
        </w:rPr>
        <w:t xml:space="preserve">континуирана </w:t>
      </w:r>
      <w:r w:rsidR="003647EA">
        <w:rPr>
          <w:rFonts w:ascii="Arial" w:hAnsi="Arial" w:cs="Arial"/>
          <w:sz w:val="22"/>
        </w:rPr>
        <w:t xml:space="preserve">отплата дугорочних кредита. Краткорочни кредити су </w:t>
      </w:r>
      <w:r w:rsidR="003647EA">
        <w:rPr>
          <w:rFonts w:ascii="Arial" w:hAnsi="Arial" w:cs="Arial"/>
          <w:sz w:val="22"/>
          <w:lang w:val="sr-Cyrl-BA"/>
        </w:rPr>
        <w:t xml:space="preserve">планирани у складу са </w:t>
      </w:r>
      <w:r w:rsidR="00EE7C7E">
        <w:rPr>
          <w:rFonts w:ascii="Arial" w:hAnsi="Arial" w:cs="Arial"/>
          <w:sz w:val="22"/>
          <w:lang w:val="sr-Cyrl-BA"/>
        </w:rPr>
        <w:t xml:space="preserve">постојећим уговорима и планом прилива/одлива. </w:t>
      </w:r>
    </w:p>
    <w:p w:rsidR="005A77A9" w:rsidRPr="004B4DCA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EE7C7E" w:rsidRDefault="00EE7C7E" w:rsidP="00EE7C7E">
      <w:pPr>
        <w:numPr>
          <w:ilvl w:val="0"/>
          <w:numId w:val="10"/>
        </w:numPr>
        <w:ind w:left="360"/>
        <w:jc w:val="both"/>
      </w:pPr>
      <w:r w:rsidRPr="00EE7C7E">
        <w:rPr>
          <w:rFonts w:ascii="Arial" w:hAnsi="Arial" w:cs="Arial"/>
          <w:b/>
          <w:bCs/>
          <w:sz w:val="22"/>
          <w:lang w:val="sr-Cyrl-CS"/>
        </w:rPr>
        <w:t xml:space="preserve">Обавезе из пословања </w:t>
      </w:r>
      <w:r w:rsidRPr="00EE7C7E">
        <w:rPr>
          <w:rFonts w:ascii="Arial" w:hAnsi="Arial" w:cs="Arial"/>
          <w:bCs/>
          <w:sz w:val="22"/>
          <w:lang w:val="sr-Cyrl-CS"/>
        </w:rPr>
        <w:t>планиране су у складу са досадашњом праксом и на нивоу износа из претходних година.</w:t>
      </w:r>
    </w:p>
    <w:p w:rsidR="00EE7C7E" w:rsidRPr="00EE7C7E" w:rsidRDefault="00EE7C7E" w:rsidP="00EE7C7E">
      <w:pPr>
        <w:ind w:left="360"/>
        <w:jc w:val="both"/>
      </w:pPr>
    </w:p>
    <w:p w:rsidR="00EE7C7E" w:rsidRPr="00EE7C7E" w:rsidRDefault="00EE7C7E" w:rsidP="00EE7C7E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</w:rPr>
      </w:pPr>
      <w:r w:rsidRPr="00EE7C7E">
        <w:rPr>
          <w:rFonts w:ascii="Arial" w:hAnsi="Arial" w:cs="Arial"/>
          <w:b/>
          <w:sz w:val="22"/>
          <w:lang w:val="sr-Cyrl-BA"/>
        </w:rPr>
        <w:t>Обавезе за зараде и накнаде зарада</w:t>
      </w:r>
      <w:r w:rsidRPr="00EE7C7E">
        <w:rPr>
          <w:rFonts w:ascii="Arial" w:hAnsi="Arial" w:cs="Arial"/>
          <w:sz w:val="22"/>
          <w:lang w:val="sr-Cyrl-BA"/>
        </w:rPr>
        <w:t xml:space="preserve"> планиране су у висини преостале обавезе</w:t>
      </w:r>
      <w:r>
        <w:rPr>
          <w:rFonts w:ascii="Arial" w:hAnsi="Arial" w:cs="Arial"/>
          <w:sz w:val="22"/>
          <w:lang w:val="sr-Cyrl-BA"/>
        </w:rPr>
        <w:t xml:space="preserve"> и према пројекцији мјесечног трошка за зараде и накнаде зарада. </w:t>
      </w:r>
    </w:p>
    <w:p w:rsidR="00EE7C7E" w:rsidRDefault="00EE7C7E" w:rsidP="00EE7C7E">
      <w:pPr>
        <w:pStyle w:val="ListParagraph"/>
        <w:rPr>
          <w:rFonts w:ascii="Arial" w:hAnsi="Arial" w:cs="Arial"/>
          <w:sz w:val="22"/>
        </w:rPr>
      </w:pPr>
    </w:p>
    <w:p w:rsidR="00EE7C7E" w:rsidRPr="00630A71" w:rsidRDefault="00EE7C7E" w:rsidP="00EE7C7E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Cyrl-BA"/>
        </w:rPr>
        <w:t xml:space="preserve">У оквиру </w:t>
      </w:r>
      <w:r w:rsidRPr="00630A71">
        <w:rPr>
          <w:rFonts w:ascii="Arial" w:hAnsi="Arial" w:cs="Arial"/>
          <w:b/>
          <w:sz w:val="22"/>
          <w:lang w:val="sr-Cyrl-BA"/>
        </w:rPr>
        <w:t>обавеза за порезе, доприносе и друге дажбине</w:t>
      </w:r>
      <w:r>
        <w:rPr>
          <w:rFonts w:ascii="Arial" w:hAnsi="Arial" w:cs="Arial"/>
          <w:sz w:val="22"/>
          <w:lang w:val="sr-Cyrl-BA"/>
        </w:rPr>
        <w:t xml:space="preserve"> </w:t>
      </w:r>
      <w:r w:rsidR="00630A71">
        <w:rPr>
          <w:rFonts w:ascii="Arial" w:hAnsi="Arial" w:cs="Arial"/>
          <w:sz w:val="22"/>
          <w:lang w:val="sr-Cyrl-BA"/>
        </w:rPr>
        <w:t xml:space="preserve">направљена је пројекција директних и индиректних пореза, доприноса и других накнада које се углавном понављају из године у годину. </w:t>
      </w:r>
    </w:p>
    <w:p w:rsidR="00630A71" w:rsidRDefault="00630A71" w:rsidP="00630A71">
      <w:pPr>
        <w:pStyle w:val="ListParagraph"/>
        <w:rPr>
          <w:rFonts w:ascii="Arial" w:hAnsi="Arial" w:cs="Arial"/>
          <w:sz w:val="22"/>
        </w:rPr>
      </w:pPr>
    </w:p>
    <w:p w:rsidR="00630A71" w:rsidRPr="00EE7C7E" w:rsidRDefault="00630A71" w:rsidP="00630A71">
      <w:pPr>
        <w:ind w:left="360"/>
        <w:jc w:val="both"/>
        <w:rPr>
          <w:rFonts w:ascii="Arial" w:hAnsi="Arial" w:cs="Arial"/>
          <w:sz w:val="22"/>
        </w:rPr>
      </w:pPr>
    </w:p>
    <w:p w:rsidR="00EE7C7E" w:rsidRDefault="00EE7C7E" w:rsidP="00EE7C7E">
      <w:pPr>
        <w:jc w:val="both"/>
      </w:pPr>
    </w:p>
    <w:p w:rsidR="00EE7C7E" w:rsidRDefault="00EE7C7E" w:rsidP="00EE7C7E">
      <w:pPr>
        <w:jc w:val="both"/>
      </w:pPr>
    </w:p>
    <w:p w:rsidR="00EE7C7E" w:rsidRPr="00EE7C7E" w:rsidRDefault="00EE7C7E" w:rsidP="00EE7C7E">
      <w:pPr>
        <w:pStyle w:val="ListParagraph"/>
        <w:jc w:val="both"/>
      </w:pPr>
    </w:p>
    <w:p w:rsidR="00EE7C7E" w:rsidRPr="004B4DCA" w:rsidRDefault="00EE7C7E" w:rsidP="00EE7C7E">
      <w:pPr>
        <w:jc w:val="both"/>
        <w:rPr>
          <w:highlight w:val="yellow"/>
        </w:rPr>
      </w:pPr>
    </w:p>
    <w:p w:rsidR="00EE7C7E" w:rsidRDefault="00EE7C7E">
      <w:pPr>
        <w:spacing w:after="200" w:line="276" w:lineRule="auto"/>
        <w:rPr>
          <w:rFonts w:ascii="Arial" w:hAnsi="Arial" w:cs="Arial"/>
          <w:b/>
          <w:szCs w:val="22"/>
          <w:lang w:val="sr-Cyrl-CS"/>
        </w:rPr>
      </w:pPr>
      <w:bookmarkStart w:id="158" w:name="_Toc481062267"/>
      <w:r>
        <w:rPr>
          <w:rFonts w:ascii="Arial" w:hAnsi="Arial" w:cs="Arial"/>
          <w:szCs w:val="22"/>
        </w:rPr>
        <w:br w:type="page"/>
      </w:r>
    </w:p>
    <w:p w:rsidR="005A77A9" w:rsidRPr="00BE72F3" w:rsidRDefault="005A77A9" w:rsidP="00611B3A">
      <w:pPr>
        <w:pStyle w:val="Heading1"/>
        <w:ind w:left="720"/>
        <w:rPr>
          <w:rFonts w:ascii="Arial" w:hAnsi="Arial" w:cs="Arial"/>
          <w:sz w:val="22"/>
          <w:szCs w:val="22"/>
        </w:rPr>
      </w:pPr>
      <w:bookmarkStart w:id="159" w:name="_Toc505000344"/>
      <w:bookmarkStart w:id="160" w:name="_Toc505001159"/>
      <w:bookmarkStart w:id="161" w:name="_Toc505146404"/>
      <w:bookmarkStart w:id="162" w:name="_Toc506293282"/>
      <w:bookmarkStart w:id="163" w:name="_Toc506293316"/>
      <w:bookmarkStart w:id="164" w:name="_Toc506293445"/>
      <w:bookmarkStart w:id="165" w:name="_Toc34731956"/>
      <w:r w:rsidRPr="00BE72F3">
        <w:rPr>
          <w:rFonts w:ascii="Arial" w:hAnsi="Arial" w:cs="Arial"/>
          <w:sz w:val="24"/>
          <w:szCs w:val="22"/>
        </w:rPr>
        <w:lastRenderedPageBreak/>
        <w:t xml:space="preserve">ПЛАН РАДНЕ СНАГЕ </w:t>
      </w:r>
      <w:r w:rsidRPr="00BE72F3">
        <w:rPr>
          <w:rFonts w:ascii="Arial" w:hAnsi="Arial" w:cs="Arial"/>
          <w:sz w:val="24"/>
          <w:szCs w:val="22"/>
          <w:lang w:val="sr-Latn-CS"/>
        </w:rPr>
        <w:t>за</w:t>
      </w:r>
      <w:r w:rsidR="00B10AE9">
        <w:rPr>
          <w:rFonts w:ascii="Arial" w:hAnsi="Arial" w:cs="Arial"/>
          <w:sz w:val="24"/>
          <w:szCs w:val="22"/>
        </w:rPr>
        <w:t xml:space="preserve"> 20</w:t>
      </w:r>
      <w:r w:rsidR="00B10AE9">
        <w:rPr>
          <w:rFonts w:ascii="Arial" w:hAnsi="Arial" w:cs="Arial"/>
          <w:sz w:val="24"/>
          <w:szCs w:val="22"/>
          <w:lang w:val="sr-Latn-BA"/>
        </w:rPr>
        <w:t>20</w:t>
      </w:r>
      <w:r w:rsidRPr="00BE72F3">
        <w:rPr>
          <w:rFonts w:ascii="Arial" w:hAnsi="Arial" w:cs="Arial"/>
          <w:sz w:val="24"/>
          <w:szCs w:val="22"/>
        </w:rPr>
        <w:t>. годину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5A77A9" w:rsidRPr="005A77A9" w:rsidRDefault="00FB3A48" w:rsidP="005A77A9">
      <w:pPr>
        <w:jc w:val="both"/>
        <w:rPr>
          <w:rFonts w:ascii="Arial" w:hAnsi="Arial" w:cs="Arial"/>
          <w:b/>
          <w:bCs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9" style="width:469.1pt;height:1pt" o:hrpct="989" o:hralign="center" o:hrstd="t" o:hr="t" fillcolor="gray" stroked="f"/>
        </w:pict>
      </w:r>
    </w:p>
    <w:p w:rsidR="00F2066C" w:rsidRPr="00A9085E" w:rsidRDefault="00F2066C" w:rsidP="00F2066C">
      <w:pPr>
        <w:rPr>
          <w:lang w:val="sr-Cyrl-BA"/>
        </w:rPr>
      </w:pPr>
    </w:p>
    <w:p w:rsidR="000A0C03" w:rsidRPr="000A0C03" w:rsidRDefault="000A0C03" w:rsidP="000A0C03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BA"/>
        </w:rPr>
      </w:pPr>
      <w:r w:rsidRPr="000A0C03">
        <w:rPr>
          <w:rFonts w:ascii="Arial" w:eastAsia="Calibri" w:hAnsi="Arial" w:cs="Arial"/>
          <w:sz w:val="22"/>
          <w:szCs w:val="22"/>
          <w:lang w:val="sr-Latn-BA"/>
        </w:rPr>
        <w:t>Циљ пројекта реструктурирања електродистрибутивних предузећа у систему МХ „ЕРС“ и успостављања јавног снабдјевача је унапређење пословања оператора дистрибутивног система и снабдјевача, кроз унапређење организације рада и кључних пословних процеса.</w:t>
      </w:r>
    </w:p>
    <w:p w:rsidR="000A0C03" w:rsidRPr="000A0C03" w:rsidRDefault="000A0C03" w:rsidP="000A0C03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Latn-BA"/>
        </w:rPr>
      </w:pPr>
      <w:r w:rsidRPr="000A0C03">
        <w:rPr>
          <w:rFonts w:ascii="Arial" w:eastAsia="Calibri" w:hAnsi="Arial" w:cs="Arial"/>
          <w:sz w:val="22"/>
          <w:szCs w:val="22"/>
          <w:lang w:val="sr-Latn-BA"/>
        </w:rPr>
        <w:t>Наставак активности на реализацији реструктурирања електродистрибутивних предузећа у систему МХ „ЕРС“ и успостављања јавног снабдјевача захтијева и провођење поступка усклађивања броја радника у свих пет електродистрибутивних предузећа у складу са новим оперативним моделом који укључује нову организацију, описе послова радних мјеста у организационим јединицама, дефинисане нове пословне процесе, консолидацију организационих јединица на терену те централизацију послова подршке с теренских организационих јединица у сједиште електродистрибуција.</w:t>
      </w:r>
    </w:p>
    <w:p w:rsidR="000A0C03" w:rsidRPr="000A0C03" w:rsidRDefault="000A0C03" w:rsidP="000A0C03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BA"/>
        </w:rPr>
      </w:pPr>
      <w:r w:rsidRPr="000A0C03">
        <w:rPr>
          <w:rFonts w:ascii="Arial" w:eastAsia="Calibri" w:hAnsi="Arial" w:cs="Arial"/>
          <w:sz w:val="22"/>
          <w:szCs w:val="22"/>
          <w:lang w:val="sr-Latn-BA"/>
        </w:rPr>
        <w:t xml:space="preserve">На основу Реформске агенде за Босну и Херцеговину за период 2015 - 2018. година који је усвојила Влада Републике Српске (у даљем тексту: Реформска агенда) и усвојеног Акционог плана Републике Српске за реализацију Реформске агенде (у даљем тексту: Акциони план), Одлуком Управе МХ „ЕРС“ планирано је да се усклађивање броја запослених проведе у више корака, с тим да се у првом кораку број запослених у свих пет електродистрибутивних предузећа умањи </w:t>
      </w:r>
      <w:r w:rsidRPr="000A0C03">
        <w:rPr>
          <w:rFonts w:ascii="Arial" w:eastAsia="Calibri" w:hAnsi="Arial" w:cs="Arial"/>
          <w:i/>
          <w:sz w:val="22"/>
          <w:szCs w:val="22"/>
          <w:lang w:val="sr-Latn-BA"/>
        </w:rPr>
        <w:t>(усклади)</w:t>
      </w:r>
      <w:r w:rsidRPr="000A0C03">
        <w:rPr>
          <w:rFonts w:ascii="Arial" w:eastAsia="Calibri" w:hAnsi="Arial" w:cs="Arial"/>
          <w:sz w:val="22"/>
          <w:szCs w:val="22"/>
          <w:lang w:val="sr-Latn-BA"/>
        </w:rPr>
        <w:t xml:space="preserve"> за </w:t>
      </w:r>
      <w:r w:rsidRPr="000A0C03">
        <w:rPr>
          <w:rFonts w:ascii="Arial" w:eastAsia="Calibri" w:hAnsi="Arial" w:cs="Arial"/>
          <w:b/>
          <w:sz w:val="22"/>
          <w:szCs w:val="22"/>
          <w:lang w:val="sr-Latn-BA"/>
        </w:rPr>
        <w:t>15%</w:t>
      </w:r>
      <w:r w:rsidRPr="000A0C03">
        <w:rPr>
          <w:rFonts w:ascii="Arial" w:eastAsia="Calibri" w:hAnsi="Arial" w:cs="Arial"/>
          <w:sz w:val="22"/>
          <w:szCs w:val="22"/>
          <w:lang w:val="sr-Latn-BA"/>
        </w:rPr>
        <w:t xml:space="preserve"> у односу на укупан број запослених, наведени проценат је изведен </w:t>
      </w:r>
      <w:r w:rsidRPr="000A0C03">
        <w:rPr>
          <w:rFonts w:ascii="Arial" w:eastAsia="Calibri" w:hAnsi="Arial" w:cs="Arial"/>
          <w:i/>
          <w:sz w:val="22"/>
          <w:szCs w:val="22"/>
          <w:lang w:val="sr-Latn-BA"/>
        </w:rPr>
        <w:t>(добијен)</w:t>
      </w:r>
      <w:r w:rsidRPr="000A0C03">
        <w:rPr>
          <w:rFonts w:ascii="Arial" w:eastAsia="Calibri" w:hAnsi="Arial" w:cs="Arial"/>
          <w:sz w:val="22"/>
          <w:szCs w:val="22"/>
          <w:lang w:val="sr-Latn-BA"/>
        </w:rPr>
        <w:t xml:space="preserve"> на начин да нису урачунати радници којима ће у процесу раздвајања бити понуђено закључивање уговора о раду на основу кога ће радник бити распоређен на послове и радне задатке у организационим јединицама Послодавца чија ће основна дјелатност бити јавно снабдијевање потрошача електричном енергијом и пословима и радним задацима на постројењима за производњу електричне енергије из обновљивих извора.</w:t>
      </w:r>
    </w:p>
    <w:p w:rsidR="00A9085E" w:rsidRDefault="000A0C03" w:rsidP="000A0C03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0A0C03">
        <w:rPr>
          <w:rFonts w:ascii="Arial" w:eastAsia="Calibri" w:hAnsi="Arial" w:cs="Arial"/>
          <w:sz w:val="22"/>
          <w:szCs w:val="22"/>
          <w:lang w:val="sr-Latn-BA"/>
        </w:rPr>
        <w:t>У сврху реализације првог корака у процесу оптимизације броја запослених са захтјевима нове организационе структуре,</w:t>
      </w:r>
      <w:r w:rsidRPr="000A0C03">
        <w:rPr>
          <w:rFonts w:ascii="Arial" w:eastAsia="Calibri" w:hAnsi="Arial" w:cs="Arial"/>
          <w:sz w:val="22"/>
          <w:szCs w:val="22"/>
          <w:lang w:val="sr-Cyrl-RS"/>
        </w:rPr>
        <w:t xml:space="preserve"> Зависно електродистрибутивно предузећа “Електро-Бијељина” а.д. Бијељина</w:t>
      </w:r>
      <w:r>
        <w:rPr>
          <w:rFonts w:ascii="Arial" w:eastAsia="Calibri" w:hAnsi="Arial" w:cs="Arial"/>
          <w:sz w:val="22"/>
          <w:szCs w:val="22"/>
          <w:lang w:val="sr-Cyrl-RS"/>
        </w:rPr>
        <w:t xml:space="preserve"> са планским </w:t>
      </w:r>
      <w:r w:rsidR="00011168">
        <w:rPr>
          <w:rFonts w:ascii="Arial" w:eastAsia="Calibri" w:hAnsi="Arial" w:cs="Arial"/>
          <w:sz w:val="22"/>
          <w:szCs w:val="22"/>
          <w:lang w:val="sr-Cyrl-BA"/>
        </w:rPr>
        <w:t>активности</w:t>
      </w:r>
      <w:r>
        <w:rPr>
          <w:rFonts w:ascii="Arial" w:eastAsia="Calibri" w:hAnsi="Arial" w:cs="Arial"/>
          <w:sz w:val="22"/>
          <w:szCs w:val="22"/>
          <w:lang w:val="sr-Cyrl-BA"/>
        </w:rPr>
        <w:t>ма стартује</w:t>
      </w:r>
      <w:r w:rsidR="00A9085E">
        <w:rPr>
          <w:rFonts w:ascii="Arial" w:eastAsia="Calibri" w:hAnsi="Arial" w:cs="Arial"/>
          <w:sz w:val="22"/>
          <w:szCs w:val="22"/>
          <w:lang w:val="sr-Cyrl-BA"/>
        </w:rPr>
        <w:t xml:space="preserve"> почетком првог квартала 2020. године расписивањем интерног позива који ће бити усаглашен са </w:t>
      </w:r>
      <w:r w:rsidR="00A9085E" w:rsidRPr="00BD432A">
        <w:rPr>
          <w:rFonts w:ascii="Arial" w:eastAsia="Calibri" w:hAnsi="Arial" w:cs="Arial"/>
          <w:sz w:val="22"/>
          <w:szCs w:val="22"/>
          <w:lang w:val="sr-Cyrl-RS"/>
        </w:rPr>
        <w:t xml:space="preserve">Мјерилима и критеријумима </w:t>
      </w:r>
      <w:r w:rsidR="00A9085E" w:rsidRPr="00BD432A">
        <w:rPr>
          <w:rFonts w:ascii="Arial" w:eastAsia="Calibri" w:hAnsi="Arial" w:cs="Arial"/>
          <w:sz w:val="22"/>
          <w:szCs w:val="22"/>
          <w:lang w:val="sr-Latn-RS"/>
        </w:rPr>
        <w:t xml:space="preserve">оптимизације броја запослених у дистрибутивним предузећима на </w:t>
      </w:r>
      <w:r w:rsidR="00A9085E" w:rsidRPr="00BD432A">
        <w:rPr>
          <w:rFonts w:ascii="Arial" w:eastAsia="Calibri" w:hAnsi="Arial" w:cs="Arial"/>
          <w:sz w:val="22"/>
          <w:szCs w:val="22"/>
          <w:lang w:val="sr-Cyrl-RS"/>
        </w:rPr>
        <w:t>основу</w:t>
      </w:r>
      <w:r w:rsidR="00A9085E" w:rsidRPr="00BD432A">
        <w:rPr>
          <w:rFonts w:ascii="Arial" w:eastAsia="Calibri" w:hAnsi="Arial" w:cs="Arial"/>
          <w:sz w:val="22"/>
          <w:szCs w:val="22"/>
          <w:lang w:val="sr-Latn-RS"/>
        </w:rPr>
        <w:t xml:space="preserve"> споразумног пре</w:t>
      </w:r>
      <w:r w:rsidR="00A9085E" w:rsidRPr="00BD432A">
        <w:rPr>
          <w:rFonts w:ascii="Arial" w:eastAsia="Calibri" w:hAnsi="Arial" w:cs="Arial"/>
          <w:sz w:val="22"/>
          <w:szCs w:val="22"/>
          <w:lang w:val="bs-Cyrl-BA"/>
        </w:rPr>
        <w:t>станка</w:t>
      </w:r>
      <w:r w:rsidR="00A9085E" w:rsidRPr="00BD432A">
        <w:rPr>
          <w:rFonts w:ascii="Arial" w:eastAsia="Calibri" w:hAnsi="Arial" w:cs="Arial"/>
          <w:sz w:val="22"/>
          <w:szCs w:val="22"/>
          <w:lang w:val="sr-Latn-RS"/>
        </w:rPr>
        <w:t xml:space="preserve"> радног односа уз остваривање права на стимулативну отпремнину и накнаду за економско-социјално збрињавање радника</w:t>
      </w:r>
      <w:r w:rsidR="00A9085E" w:rsidRPr="00BD432A">
        <w:rPr>
          <w:rFonts w:ascii="Arial" w:eastAsia="Calibri" w:hAnsi="Arial" w:cs="Arial"/>
          <w:sz w:val="22"/>
          <w:szCs w:val="22"/>
          <w:lang w:val="sr-Cyrl-RS"/>
        </w:rPr>
        <w:t>,  Правилником о стимулативној отпремнини и накнади за економско – социјално збрињавање радни</w:t>
      </w:r>
      <w:r w:rsidR="00A9085E">
        <w:rPr>
          <w:rFonts w:ascii="Arial" w:eastAsia="Calibri" w:hAnsi="Arial" w:cs="Arial"/>
          <w:sz w:val="22"/>
          <w:szCs w:val="22"/>
          <w:lang w:val="sr-Cyrl-RS"/>
        </w:rPr>
        <w:t xml:space="preserve">ка </w:t>
      </w:r>
      <w:r w:rsidR="00A9085E" w:rsidRPr="00BD432A">
        <w:rPr>
          <w:rFonts w:ascii="Arial" w:eastAsia="Calibri" w:hAnsi="Arial" w:cs="Arial"/>
          <w:sz w:val="22"/>
          <w:szCs w:val="22"/>
          <w:lang w:val="sr-Cyrl-RS"/>
        </w:rPr>
        <w:t xml:space="preserve">и Програмом </w:t>
      </w:r>
      <w:r w:rsidR="00A9085E" w:rsidRPr="00BD432A">
        <w:rPr>
          <w:rFonts w:ascii="Arial" w:eastAsia="Calibri" w:hAnsi="Arial" w:cs="Arial"/>
          <w:sz w:val="22"/>
          <w:szCs w:val="22"/>
          <w:lang w:val="sr-Latn-RS"/>
        </w:rPr>
        <w:t>оптимизације броја запослених у електродистрибутивним предузећима</w:t>
      </w:r>
      <w:r w:rsidR="00A9085E" w:rsidRPr="00BD432A">
        <w:rPr>
          <w:rFonts w:ascii="Arial" w:eastAsia="Calibri" w:hAnsi="Arial" w:cs="Arial"/>
          <w:sz w:val="22"/>
          <w:szCs w:val="22"/>
          <w:lang w:val="sr-Cyrl-RS"/>
        </w:rPr>
        <w:t>.</w:t>
      </w:r>
      <w:r>
        <w:rPr>
          <w:rFonts w:ascii="Arial" w:eastAsia="Calibri" w:hAnsi="Arial" w:cs="Arial"/>
          <w:sz w:val="22"/>
          <w:szCs w:val="22"/>
          <w:lang w:val="sr-Cyrl-RS"/>
        </w:rPr>
        <w:t xml:space="preserve"> У сљедећој табели је приказан планирани број радника по кварталима:</w:t>
      </w:r>
    </w:p>
    <w:p w:rsidR="00A9085E" w:rsidRDefault="000A0C03" w:rsidP="00A9085E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  <w:r>
        <w:rPr>
          <w:rFonts w:ascii="Arial" w:eastAsia="Calibri" w:hAnsi="Arial" w:cs="Arial"/>
          <w:sz w:val="22"/>
          <w:szCs w:val="22"/>
          <w:lang w:val="sr-Cyrl-RS"/>
        </w:rPr>
        <w:t>Табела 11</w:t>
      </w:r>
    </w:p>
    <w:tbl>
      <w:tblPr>
        <w:tblW w:w="9313" w:type="dxa"/>
        <w:tblInd w:w="93" w:type="dxa"/>
        <w:tblLook w:val="04A0" w:firstRow="1" w:lastRow="0" w:firstColumn="1" w:lastColumn="0" w:noHBand="0" w:noVBand="1"/>
      </w:tblPr>
      <w:tblGrid>
        <w:gridCol w:w="2821"/>
        <w:gridCol w:w="1344"/>
        <w:gridCol w:w="1249"/>
        <w:gridCol w:w="1249"/>
        <w:gridCol w:w="1249"/>
        <w:gridCol w:w="1401"/>
      </w:tblGrid>
      <w:tr w:rsidR="00A9085E" w:rsidRPr="00A9085E" w:rsidTr="00011168">
        <w:trPr>
          <w:trHeight w:val="272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  <w:t>I квартал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  <w:t>II квартал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  <w:t>III квартал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  <w:t>IV квартал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  <w:t>Укупно план 2020.</w:t>
            </w:r>
          </w:p>
        </w:tc>
      </w:tr>
      <w:tr w:rsidR="00A9085E" w:rsidRPr="00A9085E" w:rsidTr="00011168">
        <w:trPr>
          <w:trHeight w:val="272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 </w:t>
            </w: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r-Latn-BA" w:eastAsia="sr-Latn-BA"/>
              </w:rPr>
            </w:pPr>
          </w:p>
        </w:tc>
      </w:tr>
      <w:tr w:rsidR="00A9085E" w:rsidRPr="00A9085E" w:rsidTr="00011168">
        <w:trPr>
          <w:trHeight w:val="272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i/>
                <w:i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i/>
                <w:iCs/>
                <w:sz w:val="20"/>
                <w:szCs w:val="20"/>
                <w:lang w:val="sr-Latn-BA" w:eastAsia="sr-Latn-BA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center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6</w:t>
            </w:r>
          </w:p>
        </w:tc>
      </w:tr>
      <w:tr w:rsidR="00A9085E" w:rsidRPr="00A9085E" w:rsidTr="00011168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85E" w:rsidRPr="00A9085E" w:rsidRDefault="00A9085E" w:rsidP="00A9085E">
            <w:pPr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Број запослених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right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920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right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797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right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797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right"/>
              <w:rPr>
                <w:rFonts w:ascii="Calibri" w:hAnsi="Calibri" w:cs="Arial"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sz w:val="20"/>
                <w:szCs w:val="20"/>
                <w:lang w:val="sr-Latn-BA" w:eastAsia="sr-Latn-BA"/>
              </w:rPr>
              <w:t>797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5E" w:rsidRPr="00A9085E" w:rsidRDefault="00A9085E" w:rsidP="00A9085E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A9085E">
              <w:rPr>
                <w:rFonts w:ascii="Calibri" w:hAnsi="Calibri" w:cs="Arial"/>
                <w:b/>
                <w:bCs/>
                <w:sz w:val="20"/>
                <w:szCs w:val="20"/>
                <w:lang w:val="sr-Latn-BA" w:eastAsia="sr-Latn-BA"/>
              </w:rPr>
              <w:t>797</w:t>
            </w:r>
          </w:p>
        </w:tc>
      </w:tr>
    </w:tbl>
    <w:p w:rsidR="00A9085E" w:rsidRPr="00BD432A" w:rsidRDefault="00A9085E" w:rsidP="00A9085E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011168" w:rsidRPr="00011168" w:rsidRDefault="00011168" w:rsidP="00011168">
      <w:pPr>
        <w:jc w:val="both"/>
        <w:rPr>
          <w:rFonts w:ascii="Arial" w:eastAsia="Calibri" w:hAnsi="Arial" w:cs="Arial"/>
          <w:sz w:val="22"/>
          <w:szCs w:val="22"/>
          <w:lang w:val="sr-Cyrl-BA"/>
        </w:rPr>
      </w:pPr>
      <w:r>
        <w:rPr>
          <w:rFonts w:ascii="Arial" w:eastAsia="Calibri" w:hAnsi="Arial" w:cs="Arial"/>
          <w:sz w:val="22"/>
          <w:szCs w:val="22"/>
          <w:lang w:val="sr-Cyrl-BA"/>
        </w:rPr>
        <w:t>Први квартал укључује све запослене, односно 920 радника. Р</w:t>
      </w:r>
      <w:r w:rsidRPr="00011168">
        <w:rPr>
          <w:rFonts w:ascii="Arial" w:eastAsia="Calibri" w:hAnsi="Arial" w:cs="Arial"/>
          <w:sz w:val="22"/>
          <w:szCs w:val="22"/>
          <w:lang w:val="sr-Cyrl-RS"/>
        </w:rPr>
        <w:t>аднку који поднесе пријаву за закључење споразума о престанку радног односа уз стимулативну отпремнину и накнаду за економско – социјално збрињавање радника, престаје радни однос дана 31.03.2020. године.</w:t>
      </w:r>
      <w:r>
        <w:rPr>
          <w:rFonts w:ascii="Arial" w:eastAsia="Calibri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sz w:val="22"/>
          <w:szCs w:val="22"/>
          <w:lang w:val="sr-Cyrl-BA"/>
        </w:rPr>
        <w:t xml:space="preserve">Након спроведених активности у првом кварталу, до краја 2020. године је планирано 797 радника. </w:t>
      </w:r>
    </w:p>
    <w:p w:rsidR="006830E0" w:rsidRPr="0008655B" w:rsidRDefault="006830E0" w:rsidP="0008655B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lang w:val="sr-Latn-BA"/>
        </w:rPr>
        <w:sectPr w:rsidR="006830E0" w:rsidRPr="0008655B" w:rsidSect="00E57F76">
          <w:footerReference w:type="first" r:id="rId23"/>
          <w:pgSz w:w="12240" w:h="15840" w:code="1"/>
          <w:pgMar w:top="1080" w:right="1530" w:bottom="1080" w:left="1440" w:header="706" w:footer="706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i/>
          <w:iCs/>
          <w:sz w:val="28"/>
          <w:lang w:val="sr-Cyrl-CS"/>
        </w:rP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36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316"/>
      </w:tblGrid>
      <w:tr w:rsidR="005A77A9" w:rsidRPr="005A77A9" w:rsidTr="002E4771">
        <w:trPr>
          <w:trHeight w:val="315"/>
        </w:trPr>
        <w:tc>
          <w:tcPr>
            <w:tcW w:w="831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  <w:tr w:rsidR="005A77A9" w:rsidRPr="005A77A9" w:rsidTr="002E4771">
        <w:trPr>
          <w:trHeight w:val="1086"/>
        </w:trPr>
        <w:tc>
          <w:tcPr>
            <w:tcW w:w="8317" w:type="dxa"/>
          </w:tcPr>
          <w:p w:rsidR="005A77A9" w:rsidRPr="005E6104" w:rsidRDefault="005A77A9" w:rsidP="005E6104">
            <w:pPr>
              <w:pStyle w:val="Heading1"/>
              <w:rPr>
                <w:rFonts w:ascii="Calibri" w:hAnsi="Calibri"/>
                <w:color w:val="365F91" w:themeColor="accent1" w:themeShade="BF"/>
                <w:sz w:val="40"/>
                <w:szCs w:val="40"/>
                <w:lang w:eastAsia="ja-JP"/>
              </w:rPr>
            </w:pPr>
            <w:bookmarkStart w:id="166" w:name="_Toc34731957"/>
            <w:r w:rsidRPr="005E6104">
              <w:rPr>
                <w:rFonts w:ascii="Calibri" w:hAnsi="Calibri"/>
                <w:color w:val="365F91" w:themeColor="accent1" w:themeShade="BF"/>
                <w:sz w:val="40"/>
                <w:szCs w:val="40"/>
                <w:lang w:eastAsia="ja-JP"/>
              </w:rPr>
              <w:t>ПЛАН ИНВЕСТИЦИЈА</w:t>
            </w:r>
            <w:bookmarkEnd w:id="166"/>
          </w:p>
          <w:p w:rsidR="005A77A9" w:rsidRPr="005A77A9" w:rsidRDefault="00B10AE9" w:rsidP="00A21CD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eastAsia="ja-JP"/>
              </w:rPr>
            </w:pPr>
            <w:r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 за 20</w:t>
            </w:r>
            <w:r>
              <w:rPr>
                <w:rFonts w:ascii="Cambria" w:hAnsi="Cambria"/>
                <w:color w:val="365F91"/>
                <w:sz w:val="40"/>
                <w:szCs w:val="80"/>
                <w:lang w:val="sr-Latn-BA" w:eastAsia="ja-JP"/>
              </w:rPr>
              <w:t>20</w:t>
            </w:r>
            <w:r w:rsidR="005A77A9"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. годину</w:t>
            </w:r>
          </w:p>
        </w:tc>
      </w:tr>
    </w:tbl>
    <w:p w:rsidR="005A77A9" w:rsidRPr="005A77A9" w:rsidRDefault="005A77A9" w:rsidP="005A77A9"/>
    <w:p w:rsidR="00D844E1" w:rsidRPr="004F774B" w:rsidRDefault="002F1DFB">
      <w:pPr>
        <w:spacing w:after="200" w:line="276" w:lineRule="auto"/>
        <w:rPr>
          <w:lang w:val="sr-Cyrl-BA"/>
        </w:rPr>
      </w:pPr>
      <w:r>
        <w:br w:type="page"/>
      </w:r>
    </w:p>
    <w:p w:rsidR="00D844E1" w:rsidRPr="004F774B" w:rsidRDefault="004F774B">
      <w:pPr>
        <w:spacing w:after="200" w:line="276" w:lineRule="auto"/>
        <w:rPr>
          <w:lang w:val="sr-Cyrl-BA"/>
        </w:rPr>
      </w:pPr>
      <w:r>
        <w:rPr>
          <w:noProof/>
          <w:lang w:val="sr-Cyrl-BA" w:eastAsia="sr-Latn-BA"/>
        </w:rPr>
        <w:lastRenderedPageBreak/>
        <w:t>Инвестициона улагања у 2020. години у 000:</w:t>
      </w:r>
    </w:p>
    <w:p w:rsidR="00D844E1" w:rsidRDefault="004F774B">
      <w:pPr>
        <w:spacing w:after="200" w:line="276" w:lineRule="auto"/>
        <w:rPr>
          <w:lang w:val="sr-Cyrl-BA"/>
        </w:rPr>
      </w:pPr>
      <w:r>
        <w:rPr>
          <w:noProof/>
          <w:lang w:val="sr-Latn-BA" w:eastAsia="sr-Latn-BA"/>
        </w:rPr>
        <w:drawing>
          <wp:inline distT="0" distB="0" distL="0" distR="0">
            <wp:extent cx="5943600" cy="1121884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E1" w:rsidRDefault="004F774B">
      <w:pPr>
        <w:spacing w:after="200" w:line="276" w:lineRule="auto"/>
        <w:rPr>
          <w:lang w:val="sr-Cyrl-BA"/>
        </w:rPr>
      </w:pPr>
      <w:r>
        <w:rPr>
          <w:noProof/>
          <w:lang w:val="sr-Latn-BA" w:eastAsia="sr-Latn-BA"/>
        </w:rPr>
        <w:drawing>
          <wp:inline distT="0" distB="0" distL="0" distR="0">
            <wp:extent cx="6134100" cy="5230698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255" cy="523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Default="00D844E1">
      <w:pPr>
        <w:spacing w:after="200" w:line="276" w:lineRule="auto"/>
        <w:rPr>
          <w:lang w:val="sr-Cyrl-BA"/>
        </w:rPr>
      </w:pPr>
    </w:p>
    <w:p w:rsidR="00D844E1" w:rsidRPr="00D844E1" w:rsidRDefault="00D844E1">
      <w:pPr>
        <w:spacing w:after="200" w:line="276" w:lineRule="auto"/>
        <w:rPr>
          <w:lang w:val="sr-Cyrl-BA"/>
        </w:rPr>
      </w:pPr>
    </w:p>
    <w:p w:rsidR="0077299D" w:rsidRDefault="0077299D">
      <w:pPr>
        <w:pStyle w:val="TableofFigures"/>
        <w:tabs>
          <w:tab w:val="right" w:leader="dot" w:pos="9350"/>
        </w:tabs>
        <w:rPr>
          <w:rFonts w:ascii="Arial" w:hAnsi="Arial" w:cs="Arial"/>
          <w:sz w:val="22"/>
          <w:szCs w:val="22"/>
        </w:rPr>
      </w:pPr>
    </w:p>
    <w:p w:rsidR="0077299D" w:rsidRPr="00F2066C" w:rsidRDefault="0077299D">
      <w:pPr>
        <w:pStyle w:val="TableofFigures"/>
        <w:tabs>
          <w:tab w:val="right" w:leader="dot" w:pos="9350"/>
        </w:tabs>
        <w:rPr>
          <w:rFonts w:ascii="Arial" w:hAnsi="Arial" w:cs="Arial"/>
          <w:b/>
          <w:sz w:val="22"/>
          <w:szCs w:val="22"/>
          <w:lang w:val="sr-Cyrl-BA"/>
        </w:rPr>
      </w:pPr>
      <w:r w:rsidRPr="00F2066C">
        <w:rPr>
          <w:rFonts w:ascii="Arial" w:hAnsi="Arial" w:cs="Arial"/>
          <w:b/>
          <w:sz w:val="22"/>
          <w:szCs w:val="22"/>
          <w:lang w:val="sr-Cyrl-BA"/>
        </w:rPr>
        <w:t xml:space="preserve">ПРЕГЛЕД ТАБЕЛА </w:t>
      </w:r>
    </w:p>
    <w:p w:rsidR="0077299D" w:rsidRDefault="0077299D">
      <w:pPr>
        <w:pStyle w:val="TableofFigures"/>
        <w:tabs>
          <w:tab w:val="right" w:leader="dot" w:pos="9350"/>
        </w:tabs>
        <w:rPr>
          <w:rFonts w:ascii="Arial" w:hAnsi="Arial" w:cs="Arial"/>
          <w:sz w:val="22"/>
          <w:szCs w:val="22"/>
        </w:rPr>
      </w:pPr>
    </w:p>
    <w:p w:rsidR="000C5A92" w:rsidRPr="000C5A92" w:rsidRDefault="00183CD1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r w:rsidRPr="000C5A92">
        <w:rPr>
          <w:rFonts w:ascii="Arial" w:hAnsi="Arial" w:cs="Arial"/>
          <w:sz w:val="22"/>
          <w:szCs w:val="22"/>
        </w:rPr>
        <w:fldChar w:fldCharType="begin"/>
      </w:r>
      <w:r w:rsidRPr="000C5A92">
        <w:rPr>
          <w:rFonts w:ascii="Arial" w:hAnsi="Arial" w:cs="Arial"/>
          <w:sz w:val="22"/>
          <w:szCs w:val="22"/>
        </w:rPr>
        <w:instrText xml:space="preserve"> TOC \h \z \c "Табела" </w:instrText>
      </w:r>
      <w:r w:rsidRPr="000C5A92">
        <w:rPr>
          <w:rFonts w:ascii="Arial" w:hAnsi="Arial" w:cs="Arial"/>
          <w:sz w:val="22"/>
          <w:szCs w:val="22"/>
        </w:rPr>
        <w:fldChar w:fldCharType="separate"/>
      </w:r>
      <w:hyperlink w:anchor="_Toc33694924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1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 xml:space="preserve"> Основни плански подаци за 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Latn-BA"/>
          </w:rPr>
          <w:t>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>. годину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_Toc33694924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25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2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 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>Електроенергетски биланс ЗЕДП ''Електро-Бијељина'' а.д. Бијељина за 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Latn-BA"/>
          </w:rPr>
          <w:t>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>. годину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_Toc33694925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16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26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3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- 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>Упоредни показатељ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RS"/>
          </w:rPr>
          <w:t>и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_Toc33694926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17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27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4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ru-RU"/>
          </w:rPr>
          <w:t>Планирана пр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o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ru-RU"/>
          </w:rPr>
          <w:t>изв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o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ru-RU"/>
          </w:rPr>
          <w:t>дња електричне енерги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j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ru-RU"/>
          </w:rPr>
          <w:t>е у хидр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o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ru-RU"/>
          </w:rPr>
          <w:t>електранама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_Toc33694927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18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28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5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 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RS"/>
          </w:rPr>
          <w:t>Планирани резултат за 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Latn-BA"/>
          </w:rPr>
          <w:t>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RS"/>
          </w:rPr>
          <w:t>. годину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_Toc33694928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21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29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6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Планирани резултат пословања по кварталима за 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Latn-BA"/>
          </w:rPr>
          <w:t>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. 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CS"/>
          </w:rPr>
          <w:t>г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>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_Toc33694929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22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30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7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Структура укупних прихода за 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Latn-BA"/>
          </w:rPr>
          <w:t>20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>. годину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_Toc33694930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23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Pr="000C5A92" w:rsidRDefault="00FB3A48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694931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Табела 8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Структура укупних расхода за 2020. годину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_Toc33694931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26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Default="00FB3A48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694932" w:history="1"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>Т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</w:rPr>
          <w:t>абела 9</w:t>
        </w:r>
        <w:r w:rsidR="000C5A92" w:rsidRPr="000C5A92">
          <w:rPr>
            <w:rStyle w:val="Hyperlink"/>
            <w:rFonts w:ascii="Arial" w:eastAsia="MS Mincho" w:hAnsi="Arial" w:cs="Arial"/>
            <w:noProof/>
            <w:sz w:val="22"/>
            <w:szCs w:val="22"/>
            <w:lang w:val="sr-Cyrl-BA"/>
          </w:rPr>
          <w:t xml:space="preserve"> Плански биланс стања – АКТИВА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_Toc33694932 \h </w:instrTex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D5749">
          <w:rPr>
            <w:rFonts w:ascii="Arial" w:hAnsi="Arial" w:cs="Arial"/>
            <w:noProof/>
            <w:webHidden/>
            <w:sz w:val="22"/>
            <w:szCs w:val="22"/>
          </w:rPr>
          <w:t>29</w:t>
        </w:r>
        <w:r w:rsidR="000C5A92" w:rsidRPr="000C5A9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0C5A92" w:rsidRDefault="00FB3A48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694933" w:history="1">
        <w:r w:rsidR="000C5A92" w:rsidRPr="00A2369D">
          <w:rPr>
            <w:rStyle w:val="Hyperlink"/>
            <w:rFonts w:eastAsia="MS Mincho"/>
            <w:noProof/>
          </w:rPr>
          <w:t>Табела 10</w:t>
        </w:r>
        <w:r w:rsidR="000C5A92" w:rsidRPr="00A2369D">
          <w:rPr>
            <w:rStyle w:val="Hyperlink"/>
            <w:rFonts w:eastAsia="MS Mincho"/>
            <w:noProof/>
            <w:lang w:val="sr-Cyrl-BA"/>
          </w:rPr>
          <w:t xml:space="preserve"> </w:t>
        </w:r>
        <w:r w:rsidR="000C5A92" w:rsidRPr="00A2369D">
          <w:rPr>
            <w:rStyle w:val="Hyperlink"/>
            <w:rFonts w:ascii="Arial" w:eastAsia="MS Mincho" w:hAnsi="Arial" w:cs="Arial"/>
            <w:noProof/>
            <w:lang w:val="sr-Cyrl-BA"/>
          </w:rPr>
          <w:t>Плански биланс стања – ПАСИВА</w:t>
        </w:r>
        <w:r w:rsidR="000C5A92">
          <w:rPr>
            <w:noProof/>
            <w:webHidden/>
          </w:rPr>
          <w:tab/>
        </w:r>
        <w:r w:rsidR="000C5A92">
          <w:rPr>
            <w:noProof/>
            <w:webHidden/>
          </w:rPr>
          <w:fldChar w:fldCharType="begin"/>
        </w:r>
        <w:r w:rsidR="000C5A92">
          <w:rPr>
            <w:noProof/>
            <w:webHidden/>
          </w:rPr>
          <w:instrText xml:space="preserve"> PAGEREF _Toc33694933 \h </w:instrText>
        </w:r>
        <w:r w:rsidR="000C5A92">
          <w:rPr>
            <w:noProof/>
            <w:webHidden/>
          </w:rPr>
        </w:r>
        <w:r w:rsidR="000C5A92">
          <w:rPr>
            <w:noProof/>
            <w:webHidden/>
          </w:rPr>
          <w:fldChar w:fldCharType="separate"/>
        </w:r>
        <w:r w:rsidR="008D5749">
          <w:rPr>
            <w:noProof/>
            <w:webHidden/>
          </w:rPr>
          <w:t>31</w:t>
        </w:r>
        <w:r w:rsidR="000C5A92">
          <w:rPr>
            <w:noProof/>
            <w:webHidden/>
          </w:rPr>
          <w:fldChar w:fldCharType="end"/>
        </w:r>
      </w:hyperlink>
    </w:p>
    <w:p w:rsidR="003A023E" w:rsidRPr="000C5A92" w:rsidRDefault="00183CD1" w:rsidP="00C51F3B">
      <w:pPr>
        <w:pStyle w:val="TableofFigures"/>
        <w:tabs>
          <w:tab w:val="right" w:leader="dot" w:pos="9350"/>
        </w:tabs>
        <w:rPr>
          <w:rFonts w:ascii="Arial" w:hAnsi="Arial" w:cs="Arial"/>
          <w:sz w:val="22"/>
          <w:szCs w:val="22"/>
        </w:rPr>
      </w:pPr>
      <w:r w:rsidRPr="000C5A92">
        <w:rPr>
          <w:rFonts w:ascii="Arial" w:hAnsi="Arial" w:cs="Arial"/>
          <w:sz w:val="22"/>
          <w:szCs w:val="22"/>
        </w:rPr>
        <w:fldChar w:fldCharType="end"/>
      </w:r>
    </w:p>
    <w:p w:rsidR="00183CD1" w:rsidRPr="00183CD1" w:rsidRDefault="00183CD1" w:rsidP="00183CD1"/>
    <w:sectPr w:rsidR="00183CD1" w:rsidRPr="00183CD1" w:rsidSect="002535F7">
      <w:pgSz w:w="12240" w:h="15840" w:code="1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48" w:rsidRDefault="00FB3A48" w:rsidP="005A77A9">
      <w:r>
        <w:separator/>
      </w:r>
    </w:p>
  </w:endnote>
  <w:endnote w:type="continuationSeparator" w:id="0">
    <w:p w:rsidR="00FB3A48" w:rsidRDefault="00FB3A48" w:rsidP="005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L Friz Quadrat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4A" w:rsidRDefault="00E445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291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54A" w:rsidRDefault="00E44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749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E4454A" w:rsidRPr="00756DFD" w:rsidRDefault="00E4454A">
    <w:pPr>
      <w:pStyle w:val="Footer"/>
      <w:rPr>
        <w:rFonts w:ascii="Arial" w:hAnsi="Arial" w:cs="Arial"/>
        <w:i/>
        <w:iCs/>
        <w:color w:val="365F91"/>
        <w:sz w:val="20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4A" w:rsidRDefault="00E4454A">
    <w:pPr>
      <w:pStyle w:val="Footer"/>
      <w:jc w:val="right"/>
    </w:pPr>
  </w:p>
  <w:p w:rsidR="00E4454A" w:rsidRDefault="00E445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4A" w:rsidRDefault="00E4454A">
    <w:pPr>
      <w:pStyle w:val="Footer"/>
      <w:jc w:val="right"/>
    </w:pPr>
  </w:p>
  <w:p w:rsidR="00E4454A" w:rsidRDefault="00E44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48" w:rsidRDefault="00FB3A48" w:rsidP="005A77A9">
      <w:r>
        <w:separator/>
      </w:r>
    </w:p>
  </w:footnote>
  <w:footnote w:type="continuationSeparator" w:id="0">
    <w:p w:rsidR="00FB3A48" w:rsidRDefault="00FB3A48" w:rsidP="005A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4A" w:rsidRPr="00D16767" w:rsidRDefault="00E4454A">
    <w:pPr>
      <w:pStyle w:val="Header"/>
      <w:tabs>
        <w:tab w:val="clear" w:pos="4320"/>
        <w:tab w:val="clear" w:pos="8640"/>
        <w:tab w:val="left" w:pos="1380"/>
      </w:tabs>
      <w:rPr>
        <w:i/>
        <w:iCs/>
        <w:color w:val="365F91"/>
        <w:sz w:val="22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0563A"/>
    <w:multiLevelType w:val="hybridMultilevel"/>
    <w:tmpl w:val="64DA8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E1F"/>
    <w:multiLevelType w:val="hybridMultilevel"/>
    <w:tmpl w:val="9274F2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9150A"/>
    <w:multiLevelType w:val="hybridMultilevel"/>
    <w:tmpl w:val="9ECEEA9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9498C"/>
    <w:multiLevelType w:val="hybridMultilevel"/>
    <w:tmpl w:val="AB44DB26"/>
    <w:lvl w:ilvl="0" w:tplc="0478E7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F19DA"/>
    <w:multiLevelType w:val="hybridMultilevel"/>
    <w:tmpl w:val="FF6A199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FF3B59"/>
    <w:multiLevelType w:val="hybridMultilevel"/>
    <w:tmpl w:val="024C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242DB"/>
    <w:multiLevelType w:val="multilevel"/>
    <w:tmpl w:val="E83A93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175C5B66"/>
    <w:multiLevelType w:val="hybridMultilevel"/>
    <w:tmpl w:val="6CF8F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975FC"/>
    <w:multiLevelType w:val="hybridMultilevel"/>
    <w:tmpl w:val="15D2625C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C115FF2"/>
    <w:multiLevelType w:val="hybridMultilevel"/>
    <w:tmpl w:val="101E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82908"/>
    <w:multiLevelType w:val="hybridMultilevel"/>
    <w:tmpl w:val="8F10EE84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8063A"/>
    <w:multiLevelType w:val="hybridMultilevel"/>
    <w:tmpl w:val="03E0F31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16D49"/>
    <w:multiLevelType w:val="hybridMultilevel"/>
    <w:tmpl w:val="BF48AF00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42B94"/>
    <w:multiLevelType w:val="hybridMultilevel"/>
    <w:tmpl w:val="EE3AE29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1D76C18"/>
    <w:multiLevelType w:val="hybridMultilevel"/>
    <w:tmpl w:val="5B18FB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90A36"/>
    <w:multiLevelType w:val="hybridMultilevel"/>
    <w:tmpl w:val="C32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4543E"/>
    <w:multiLevelType w:val="hybridMultilevel"/>
    <w:tmpl w:val="8FDA2202"/>
    <w:lvl w:ilvl="0" w:tplc="349CA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C2FEF"/>
    <w:multiLevelType w:val="hybridMultilevel"/>
    <w:tmpl w:val="41084F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D416427"/>
    <w:multiLevelType w:val="hybridMultilevel"/>
    <w:tmpl w:val="013E06F6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3972D0"/>
    <w:multiLevelType w:val="hybridMultilevel"/>
    <w:tmpl w:val="C13E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932BDE"/>
    <w:multiLevelType w:val="hybridMultilevel"/>
    <w:tmpl w:val="EF541108"/>
    <w:lvl w:ilvl="0" w:tplc="7C508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851D0"/>
    <w:multiLevelType w:val="hybridMultilevel"/>
    <w:tmpl w:val="7F6A738E"/>
    <w:lvl w:ilvl="0" w:tplc="04090007">
      <w:start w:val="1"/>
      <w:numFmt w:val="bullet"/>
      <w:lvlText w:val="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B2C6F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40E6009A"/>
    <w:multiLevelType w:val="hybridMultilevel"/>
    <w:tmpl w:val="76E22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954993"/>
    <w:multiLevelType w:val="hybridMultilevel"/>
    <w:tmpl w:val="90A4771C"/>
    <w:lvl w:ilvl="0" w:tplc="B0AA008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Calibri" w:hAnsi="Calibri" w:hint="default"/>
        <w:b w:val="0"/>
      </w:rPr>
    </w:lvl>
    <w:lvl w:ilvl="1" w:tplc="602CE44E">
      <w:start w:val="1"/>
      <w:numFmt w:val="bullet"/>
      <w:lvlText w:val="˗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E891739"/>
    <w:multiLevelType w:val="hybridMultilevel"/>
    <w:tmpl w:val="4A3A1A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1F4288"/>
    <w:multiLevelType w:val="hybridMultilevel"/>
    <w:tmpl w:val="6ADAA38C"/>
    <w:lvl w:ilvl="0" w:tplc="9EE68930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F0702"/>
    <w:multiLevelType w:val="hybridMultilevel"/>
    <w:tmpl w:val="1518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140F6"/>
    <w:multiLevelType w:val="hybridMultilevel"/>
    <w:tmpl w:val="B220F746"/>
    <w:lvl w:ilvl="0" w:tplc="602CE44E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C8653C5"/>
    <w:multiLevelType w:val="multilevel"/>
    <w:tmpl w:val="7798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BD1ACF"/>
    <w:multiLevelType w:val="hybridMultilevel"/>
    <w:tmpl w:val="2A4C29B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0DE6D6D"/>
    <w:multiLevelType w:val="hybridMultilevel"/>
    <w:tmpl w:val="79F0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B5EBE"/>
    <w:multiLevelType w:val="hybridMultilevel"/>
    <w:tmpl w:val="A02090F6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E6F20"/>
    <w:multiLevelType w:val="hybridMultilevel"/>
    <w:tmpl w:val="223465D8"/>
    <w:lvl w:ilvl="0" w:tplc="9970E3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64CCD"/>
    <w:multiLevelType w:val="hybridMultilevel"/>
    <w:tmpl w:val="39EED3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352414"/>
    <w:multiLevelType w:val="hybridMultilevel"/>
    <w:tmpl w:val="83FAB69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A15B1A"/>
    <w:multiLevelType w:val="hybridMultilevel"/>
    <w:tmpl w:val="4510E530"/>
    <w:lvl w:ilvl="0" w:tplc="D7C42A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6E13A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F7193B"/>
    <w:multiLevelType w:val="hybridMultilevel"/>
    <w:tmpl w:val="EC6C88F0"/>
    <w:lvl w:ilvl="0" w:tplc="78A83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5"/>
  </w:num>
  <w:num w:numId="4">
    <w:abstractNumId w:val="0"/>
  </w:num>
  <w:num w:numId="5">
    <w:abstractNumId w:val="25"/>
  </w:num>
  <w:num w:numId="6">
    <w:abstractNumId w:val="35"/>
  </w:num>
  <w:num w:numId="7">
    <w:abstractNumId w:val="14"/>
  </w:num>
  <w:num w:numId="8">
    <w:abstractNumId w:val="22"/>
  </w:num>
  <w:num w:numId="9">
    <w:abstractNumId w:val="5"/>
  </w:num>
  <w:num w:numId="10">
    <w:abstractNumId w:val="2"/>
  </w:num>
  <w:num w:numId="11">
    <w:abstractNumId w:val="9"/>
  </w:num>
  <w:num w:numId="12">
    <w:abstractNumId w:val="26"/>
  </w:num>
  <w:num w:numId="13">
    <w:abstractNumId w:val="36"/>
  </w:num>
  <w:num w:numId="14">
    <w:abstractNumId w:val="30"/>
  </w:num>
  <w:num w:numId="15">
    <w:abstractNumId w:val="4"/>
  </w:num>
  <w:num w:numId="16">
    <w:abstractNumId w:val="17"/>
  </w:num>
  <w:num w:numId="17">
    <w:abstractNumId w:val="11"/>
  </w:num>
  <w:num w:numId="18">
    <w:abstractNumId w:val="28"/>
  </w:num>
  <w:num w:numId="19">
    <w:abstractNumId w:val="16"/>
  </w:num>
  <w:num w:numId="20">
    <w:abstractNumId w:val="18"/>
  </w:num>
  <w:num w:numId="21">
    <w:abstractNumId w:val="8"/>
  </w:num>
  <w:num w:numId="22">
    <w:abstractNumId w:val="31"/>
  </w:num>
  <w:num w:numId="23">
    <w:abstractNumId w:val="19"/>
  </w:num>
  <w:num w:numId="24">
    <w:abstractNumId w:val="6"/>
  </w:num>
  <w:num w:numId="25">
    <w:abstractNumId w:val="1"/>
  </w:num>
  <w:num w:numId="26">
    <w:abstractNumId w:val="37"/>
  </w:num>
  <w:num w:numId="27">
    <w:abstractNumId w:val="38"/>
  </w:num>
  <w:num w:numId="28">
    <w:abstractNumId w:val="29"/>
  </w:num>
  <w:num w:numId="29">
    <w:abstractNumId w:val="27"/>
  </w:num>
  <w:num w:numId="30">
    <w:abstractNumId w:val="3"/>
  </w:num>
  <w:num w:numId="31">
    <w:abstractNumId w:val="7"/>
  </w:num>
  <w:num w:numId="32">
    <w:abstractNumId w:val="20"/>
  </w:num>
  <w:num w:numId="33">
    <w:abstractNumId w:val="24"/>
  </w:num>
  <w:num w:numId="34">
    <w:abstractNumId w:val="10"/>
  </w:num>
  <w:num w:numId="35">
    <w:abstractNumId w:val="13"/>
  </w:num>
  <w:num w:numId="36">
    <w:abstractNumId w:val="32"/>
  </w:num>
  <w:num w:numId="37">
    <w:abstractNumId w:val="34"/>
  </w:num>
  <w:num w:numId="38">
    <w:abstractNumId w:val="33"/>
  </w:num>
  <w:num w:numId="3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CC"/>
    <w:rsid w:val="000106D1"/>
    <w:rsid w:val="00011168"/>
    <w:rsid w:val="00014C27"/>
    <w:rsid w:val="0001532D"/>
    <w:rsid w:val="0001588A"/>
    <w:rsid w:val="000205DC"/>
    <w:rsid w:val="00021C86"/>
    <w:rsid w:val="000224C6"/>
    <w:rsid w:val="000237E6"/>
    <w:rsid w:val="00023E47"/>
    <w:rsid w:val="00026789"/>
    <w:rsid w:val="00027009"/>
    <w:rsid w:val="0003004A"/>
    <w:rsid w:val="00030E18"/>
    <w:rsid w:val="00033332"/>
    <w:rsid w:val="00042060"/>
    <w:rsid w:val="000431DA"/>
    <w:rsid w:val="00052B9B"/>
    <w:rsid w:val="00056BCF"/>
    <w:rsid w:val="000678AD"/>
    <w:rsid w:val="000679AD"/>
    <w:rsid w:val="00074294"/>
    <w:rsid w:val="000758DA"/>
    <w:rsid w:val="000805BD"/>
    <w:rsid w:val="00082FB6"/>
    <w:rsid w:val="0008628C"/>
    <w:rsid w:val="0008655B"/>
    <w:rsid w:val="00090472"/>
    <w:rsid w:val="000952E1"/>
    <w:rsid w:val="000A0C03"/>
    <w:rsid w:val="000B2AD9"/>
    <w:rsid w:val="000B2F9D"/>
    <w:rsid w:val="000C0919"/>
    <w:rsid w:val="000C3AFE"/>
    <w:rsid w:val="000C43F2"/>
    <w:rsid w:val="000C5A92"/>
    <w:rsid w:val="000E3B84"/>
    <w:rsid w:val="000E4865"/>
    <w:rsid w:val="000E48E2"/>
    <w:rsid w:val="000E6101"/>
    <w:rsid w:val="000E632B"/>
    <w:rsid w:val="000E6F9C"/>
    <w:rsid w:val="000F2209"/>
    <w:rsid w:val="000F457D"/>
    <w:rsid w:val="000F51FF"/>
    <w:rsid w:val="001103E7"/>
    <w:rsid w:val="00122267"/>
    <w:rsid w:val="00126681"/>
    <w:rsid w:val="00127B13"/>
    <w:rsid w:val="001319D4"/>
    <w:rsid w:val="001362EE"/>
    <w:rsid w:val="001366DD"/>
    <w:rsid w:val="001367EF"/>
    <w:rsid w:val="00136AE4"/>
    <w:rsid w:val="00137590"/>
    <w:rsid w:val="00137DFE"/>
    <w:rsid w:val="0014003C"/>
    <w:rsid w:val="001408C5"/>
    <w:rsid w:val="001474B5"/>
    <w:rsid w:val="0014775B"/>
    <w:rsid w:val="00150467"/>
    <w:rsid w:val="00151F27"/>
    <w:rsid w:val="00152FB9"/>
    <w:rsid w:val="00153458"/>
    <w:rsid w:val="001651F3"/>
    <w:rsid w:val="001656D3"/>
    <w:rsid w:val="00166CDA"/>
    <w:rsid w:val="00167CC9"/>
    <w:rsid w:val="0017059B"/>
    <w:rsid w:val="0017143B"/>
    <w:rsid w:val="00172BC2"/>
    <w:rsid w:val="0017382D"/>
    <w:rsid w:val="00183C5E"/>
    <w:rsid w:val="00183CD1"/>
    <w:rsid w:val="0018498C"/>
    <w:rsid w:val="0019083F"/>
    <w:rsid w:val="00196E9A"/>
    <w:rsid w:val="0019760E"/>
    <w:rsid w:val="001A3C37"/>
    <w:rsid w:val="001B1264"/>
    <w:rsid w:val="001B1D73"/>
    <w:rsid w:val="001B5738"/>
    <w:rsid w:val="001B62C5"/>
    <w:rsid w:val="001B67E0"/>
    <w:rsid w:val="001C204C"/>
    <w:rsid w:val="001C321A"/>
    <w:rsid w:val="001C76C6"/>
    <w:rsid w:val="001D0F12"/>
    <w:rsid w:val="001D2C04"/>
    <w:rsid w:val="001D37CC"/>
    <w:rsid w:val="001D468B"/>
    <w:rsid w:val="001D74A1"/>
    <w:rsid w:val="001E6892"/>
    <w:rsid w:val="001E6FAE"/>
    <w:rsid w:val="001F4335"/>
    <w:rsid w:val="001F6C29"/>
    <w:rsid w:val="00201FEF"/>
    <w:rsid w:val="00212B49"/>
    <w:rsid w:val="002163FF"/>
    <w:rsid w:val="00216CE6"/>
    <w:rsid w:val="00217504"/>
    <w:rsid w:val="002177FA"/>
    <w:rsid w:val="00222230"/>
    <w:rsid w:val="002242C2"/>
    <w:rsid w:val="00240A66"/>
    <w:rsid w:val="00243DA4"/>
    <w:rsid w:val="00247AC2"/>
    <w:rsid w:val="00251A74"/>
    <w:rsid w:val="0025210C"/>
    <w:rsid w:val="002535F7"/>
    <w:rsid w:val="002659DF"/>
    <w:rsid w:val="00266F12"/>
    <w:rsid w:val="00271103"/>
    <w:rsid w:val="00276B1C"/>
    <w:rsid w:val="00277D70"/>
    <w:rsid w:val="00284839"/>
    <w:rsid w:val="00292235"/>
    <w:rsid w:val="002925D9"/>
    <w:rsid w:val="00294044"/>
    <w:rsid w:val="0029670E"/>
    <w:rsid w:val="0029728A"/>
    <w:rsid w:val="002A029A"/>
    <w:rsid w:val="002A0519"/>
    <w:rsid w:val="002A17B4"/>
    <w:rsid w:val="002A3643"/>
    <w:rsid w:val="002B3440"/>
    <w:rsid w:val="002B5853"/>
    <w:rsid w:val="002C4BF5"/>
    <w:rsid w:val="002C5088"/>
    <w:rsid w:val="002C59F1"/>
    <w:rsid w:val="002C5AFF"/>
    <w:rsid w:val="002C7920"/>
    <w:rsid w:val="002D3088"/>
    <w:rsid w:val="002D7CD7"/>
    <w:rsid w:val="002E44B2"/>
    <w:rsid w:val="002E45B6"/>
    <w:rsid w:val="002E4771"/>
    <w:rsid w:val="002E660E"/>
    <w:rsid w:val="002E66E6"/>
    <w:rsid w:val="002E6C1C"/>
    <w:rsid w:val="002F1DFB"/>
    <w:rsid w:val="002F4541"/>
    <w:rsid w:val="002F5B5A"/>
    <w:rsid w:val="0030068A"/>
    <w:rsid w:val="00300C21"/>
    <w:rsid w:val="00300D10"/>
    <w:rsid w:val="003016D9"/>
    <w:rsid w:val="00310B99"/>
    <w:rsid w:val="00312FD8"/>
    <w:rsid w:val="003155F7"/>
    <w:rsid w:val="0031575F"/>
    <w:rsid w:val="00322696"/>
    <w:rsid w:val="0033023D"/>
    <w:rsid w:val="00330370"/>
    <w:rsid w:val="00331E4D"/>
    <w:rsid w:val="0033362E"/>
    <w:rsid w:val="00345FC6"/>
    <w:rsid w:val="003461CB"/>
    <w:rsid w:val="00347884"/>
    <w:rsid w:val="003506C8"/>
    <w:rsid w:val="00351FF3"/>
    <w:rsid w:val="00352D80"/>
    <w:rsid w:val="00353BCD"/>
    <w:rsid w:val="003605EC"/>
    <w:rsid w:val="003630CA"/>
    <w:rsid w:val="00364067"/>
    <w:rsid w:val="003647EA"/>
    <w:rsid w:val="00365250"/>
    <w:rsid w:val="003652D1"/>
    <w:rsid w:val="00366C49"/>
    <w:rsid w:val="003672DE"/>
    <w:rsid w:val="00370650"/>
    <w:rsid w:val="003750E8"/>
    <w:rsid w:val="00384035"/>
    <w:rsid w:val="00393DBC"/>
    <w:rsid w:val="003942E9"/>
    <w:rsid w:val="00394BC6"/>
    <w:rsid w:val="0039534F"/>
    <w:rsid w:val="003A023E"/>
    <w:rsid w:val="003A087E"/>
    <w:rsid w:val="003A1C2A"/>
    <w:rsid w:val="003A5AD0"/>
    <w:rsid w:val="003B2E3C"/>
    <w:rsid w:val="003B5AD0"/>
    <w:rsid w:val="003D1D64"/>
    <w:rsid w:val="003D4C0F"/>
    <w:rsid w:val="003D5653"/>
    <w:rsid w:val="003D64A8"/>
    <w:rsid w:val="003D6882"/>
    <w:rsid w:val="003E2562"/>
    <w:rsid w:val="003E4314"/>
    <w:rsid w:val="003E52C7"/>
    <w:rsid w:val="003E5405"/>
    <w:rsid w:val="003E5828"/>
    <w:rsid w:val="003E6D13"/>
    <w:rsid w:val="003F0353"/>
    <w:rsid w:val="003F1A26"/>
    <w:rsid w:val="003F1AC6"/>
    <w:rsid w:val="003F61D6"/>
    <w:rsid w:val="003F7307"/>
    <w:rsid w:val="00402934"/>
    <w:rsid w:val="00404119"/>
    <w:rsid w:val="004054DF"/>
    <w:rsid w:val="00412EF6"/>
    <w:rsid w:val="00413009"/>
    <w:rsid w:val="00413C8C"/>
    <w:rsid w:val="0041660D"/>
    <w:rsid w:val="004170BB"/>
    <w:rsid w:val="00417795"/>
    <w:rsid w:val="0042052F"/>
    <w:rsid w:val="00422949"/>
    <w:rsid w:val="004276DA"/>
    <w:rsid w:val="00430C48"/>
    <w:rsid w:val="00433CB4"/>
    <w:rsid w:val="004352BC"/>
    <w:rsid w:val="004368B4"/>
    <w:rsid w:val="004376CE"/>
    <w:rsid w:val="004379F6"/>
    <w:rsid w:val="004508BB"/>
    <w:rsid w:val="0045337D"/>
    <w:rsid w:val="00454831"/>
    <w:rsid w:val="004563EF"/>
    <w:rsid w:val="0045747E"/>
    <w:rsid w:val="00462130"/>
    <w:rsid w:val="0046227E"/>
    <w:rsid w:val="00462625"/>
    <w:rsid w:val="00464E76"/>
    <w:rsid w:val="00475072"/>
    <w:rsid w:val="00475F15"/>
    <w:rsid w:val="00476DF6"/>
    <w:rsid w:val="004778F3"/>
    <w:rsid w:val="0048018D"/>
    <w:rsid w:val="00481CD7"/>
    <w:rsid w:val="0048405B"/>
    <w:rsid w:val="00487896"/>
    <w:rsid w:val="00487AC3"/>
    <w:rsid w:val="004902AD"/>
    <w:rsid w:val="0049311C"/>
    <w:rsid w:val="004A0D24"/>
    <w:rsid w:val="004B2428"/>
    <w:rsid w:val="004B3465"/>
    <w:rsid w:val="004B4DCA"/>
    <w:rsid w:val="004C4767"/>
    <w:rsid w:val="004D03B5"/>
    <w:rsid w:val="004D3D1B"/>
    <w:rsid w:val="004D5839"/>
    <w:rsid w:val="004D5871"/>
    <w:rsid w:val="004D70F6"/>
    <w:rsid w:val="004E5C42"/>
    <w:rsid w:val="004E6B1D"/>
    <w:rsid w:val="004F0078"/>
    <w:rsid w:val="004F68A5"/>
    <w:rsid w:val="004F774B"/>
    <w:rsid w:val="0050547F"/>
    <w:rsid w:val="0050636C"/>
    <w:rsid w:val="00507E05"/>
    <w:rsid w:val="00512250"/>
    <w:rsid w:val="005123AB"/>
    <w:rsid w:val="00514D80"/>
    <w:rsid w:val="005222AB"/>
    <w:rsid w:val="00523E90"/>
    <w:rsid w:val="0052541F"/>
    <w:rsid w:val="00533DA0"/>
    <w:rsid w:val="00535524"/>
    <w:rsid w:val="00540BF7"/>
    <w:rsid w:val="00545A1E"/>
    <w:rsid w:val="00551475"/>
    <w:rsid w:val="00551C93"/>
    <w:rsid w:val="00551E89"/>
    <w:rsid w:val="00554C40"/>
    <w:rsid w:val="00555C6A"/>
    <w:rsid w:val="00560D5A"/>
    <w:rsid w:val="00562550"/>
    <w:rsid w:val="0056446E"/>
    <w:rsid w:val="00581A5C"/>
    <w:rsid w:val="00583E86"/>
    <w:rsid w:val="00586F28"/>
    <w:rsid w:val="00593AFC"/>
    <w:rsid w:val="00596AAD"/>
    <w:rsid w:val="005A77A9"/>
    <w:rsid w:val="005A7DE3"/>
    <w:rsid w:val="005A7E22"/>
    <w:rsid w:val="005B3375"/>
    <w:rsid w:val="005B48B2"/>
    <w:rsid w:val="005C4D65"/>
    <w:rsid w:val="005C6721"/>
    <w:rsid w:val="005C7098"/>
    <w:rsid w:val="005D0DEF"/>
    <w:rsid w:val="005D5B03"/>
    <w:rsid w:val="005D6F4B"/>
    <w:rsid w:val="005E230A"/>
    <w:rsid w:val="005E2E5D"/>
    <w:rsid w:val="005E6040"/>
    <w:rsid w:val="005E6104"/>
    <w:rsid w:val="005E6F6B"/>
    <w:rsid w:val="005F209D"/>
    <w:rsid w:val="005F2202"/>
    <w:rsid w:val="005F25DF"/>
    <w:rsid w:val="005F3658"/>
    <w:rsid w:val="005F5D37"/>
    <w:rsid w:val="005F6A1B"/>
    <w:rsid w:val="005F6C7C"/>
    <w:rsid w:val="00600C9E"/>
    <w:rsid w:val="00602E59"/>
    <w:rsid w:val="00604966"/>
    <w:rsid w:val="00605C8D"/>
    <w:rsid w:val="00606EC5"/>
    <w:rsid w:val="00611B3A"/>
    <w:rsid w:val="00612838"/>
    <w:rsid w:val="00621391"/>
    <w:rsid w:val="00621C27"/>
    <w:rsid w:val="00622E81"/>
    <w:rsid w:val="006305B0"/>
    <w:rsid w:val="00630A71"/>
    <w:rsid w:val="00630BAE"/>
    <w:rsid w:val="00631D71"/>
    <w:rsid w:val="00633043"/>
    <w:rsid w:val="00641222"/>
    <w:rsid w:val="00645D3C"/>
    <w:rsid w:val="00646770"/>
    <w:rsid w:val="006557CE"/>
    <w:rsid w:val="00656440"/>
    <w:rsid w:val="00661407"/>
    <w:rsid w:val="006646BC"/>
    <w:rsid w:val="006664A3"/>
    <w:rsid w:val="0067013E"/>
    <w:rsid w:val="00673464"/>
    <w:rsid w:val="00674CEF"/>
    <w:rsid w:val="00677948"/>
    <w:rsid w:val="00680F63"/>
    <w:rsid w:val="006830E0"/>
    <w:rsid w:val="00684524"/>
    <w:rsid w:val="00691F5E"/>
    <w:rsid w:val="006975A8"/>
    <w:rsid w:val="006A1C41"/>
    <w:rsid w:val="006B0603"/>
    <w:rsid w:val="006B0AA4"/>
    <w:rsid w:val="006B3539"/>
    <w:rsid w:val="006B4BA3"/>
    <w:rsid w:val="006B76B4"/>
    <w:rsid w:val="006C0EC7"/>
    <w:rsid w:val="006C12D9"/>
    <w:rsid w:val="006C548E"/>
    <w:rsid w:val="006D0A79"/>
    <w:rsid w:val="006D2207"/>
    <w:rsid w:val="006D439B"/>
    <w:rsid w:val="006D6B63"/>
    <w:rsid w:val="006E149A"/>
    <w:rsid w:val="006E2B7F"/>
    <w:rsid w:val="006E3EF1"/>
    <w:rsid w:val="006F1100"/>
    <w:rsid w:val="006F1C96"/>
    <w:rsid w:val="006F563E"/>
    <w:rsid w:val="007012B8"/>
    <w:rsid w:val="00702287"/>
    <w:rsid w:val="00704AB7"/>
    <w:rsid w:val="00705EB4"/>
    <w:rsid w:val="0070659D"/>
    <w:rsid w:val="007067FA"/>
    <w:rsid w:val="007109CC"/>
    <w:rsid w:val="00710DFC"/>
    <w:rsid w:val="00713292"/>
    <w:rsid w:val="00716F34"/>
    <w:rsid w:val="00717981"/>
    <w:rsid w:val="00717B06"/>
    <w:rsid w:val="00721B25"/>
    <w:rsid w:val="00721C6C"/>
    <w:rsid w:val="00721CAB"/>
    <w:rsid w:val="00722CAB"/>
    <w:rsid w:val="0072534C"/>
    <w:rsid w:val="00733A1E"/>
    <w:rsid w:val="00737F61"/>
    <w:rsid w:val="007414CE"/>
    <w:rsid w:val="00741DD2"/>
    <w:rsid w:val="00744831"/>
    <w:rsid w:val="00745DF2"/>
    <w:rsid w:val="00746B76"/>
    <w:rsid w:val="00746D98"/>
    <w:rsid w:val="00753989"/>
    <w:rsid w:val="00753D29"/>
    <w:rsid w:val="00755DB5"/>
    <w:rsid w:val="00756CB1"/>
    <w:rsid w:val="00757143"/>
    <w:rsid w:val="0077299D"/>
    <w:rsid w:val="00775761"/>
    <w:rsid w:val="00777AA0"/>
    <w:rsid w:val="0078358D"/>
    <w:rsid w:val="007903A2"/>
    <w:rsid w:val="00791F75"/>
    <w:rsid w:val="00793D15"/>
    <w:rsid w:val="007A7E06"/>
    <w:rsid w:val="007B1C47"/>
    <w:rsid w:val="007B5381"/>
    <w:rsid w:val="007C05EE"/>
    <w:rsid w:val="007C42BA"/>
    <w:rsid w:val="007C4D47"/>
    <w:rsid w:val="007D1DDD"/>
    <w:rsid w:val="007D2EAC"/>
    <w:rsid w:val="007E09D5"/>
    <w:rsid w:val="007E1093"/>
    <w:rsid w:val="007E264A"/>
    <w:rsid w:val="007E53EC"/>
    <w:rsid w:val="007F38F5"/>
    <w:rsid w:val="007F3C69"/>
    <w:rsid w:val="007F413D"/>
    <w:rsid w:val="007F60BF"/>
    <w:rsid w:val="007F6E68"/>
    <w:rsid w:val="0080052B"/>
    <w:rsid w:val="00800C6A"/>
    <w:rsid w:val="00813858"/>
    <w:rsid w:val="00814FE1"/>
    <w:rsid w:val="00817590"/>
    <w:rsid w:val="00824202"/>
    <w:rsid w:val="008259F2"/>
    <w:rsid w:val="008278C6"/>
    <w:rsid w:val="00830C44"/>
    <w:rsid w:val="00832A98"/>
    <w:rsid w:val="008403BA"/>
    <w:rsid w:val="00847429"/>
    <w:rsid w:val="008505E5"/>
    <w:rsid w:val="008553D1"/>
    <w:rsid w:val="008558DD"/>
    <w:rsid w:val="00857091"/>
    <w:rsid w:val="00857DF2"/>
    <w:rsid w:val="00864944"/>
    <w:rsid w:val="00864B28"/>
    <w:rsid w:val="00866143"/>
    <w:rsid w:val="0086779A"/>
    <w:rsid w:val="00872C46"/>
    <w:rsid w:val="00873C47"/>
    <w:rsid w:val="00883898"/>
    <w:rsid w:val="00883A14"/>
    <w:rsid w:val="00883C28"/>
    <w:rsid w:val="0088405A"/>
    <w:rsid w:val="00885D07"/>
    <w:rsid w:val="00886621"/>
    <w:rsid w:val="008947A8"/>
    <w:rsid w:val="008963A7"/>
    <w:rsid w:val="008A01FE"/>
    <w:rsid w:val="008B0FAF"/>
    <w:rsid w:val="008B1BBA"/>
    <w:rsid w:val="008B3AE0"/>
    <w:rsid w:val="008B5CB7"/>
    <w:rsid w:val="008C0DF3"/>
    <w:rsid w:val="008C1393"/>
    <w:rsid w:val="008C3E88"/>
    <w:rsid w:val="008D1A66"/>
    <w:rsid w:val="008D37FA"/>
    <w:rsid w:val="008D5749"/>
    <w:rsid w:val="008D6906"/>
    <w:rsid w:val="008E1FAC"/>
    <w:rsid w:val="008E6D67"/>
    <w:rsid w:val="008E704E"/>
    <w:rsid w:val="008F4053"/>
    <w:rsid w:val="00902CC7"/>
    <w:rsid w:val="00905AEB"/>
    <w:rsid w:val="009067D8"/>
    <w:rsid w:val="00906DF8"/>
    <w:rsid w:val="00910145"/>
    <w:rsid w:val="00927A4A"/>
    <w:rsid w:val="00927EF4"/>
    <w:rsid w:val="00930C88"/>
    <w:rsid w:val="0093267E"/>
    <w:rsid w:val="009327F0"/>
    <w:rsid w:val="009352FA"/>
    <w:rsid w:val="00937ADC"/>
    <w:rsid w:val="00947AF5"/>
    <w:rsid w:val="00952860"/>
    <w:rsid w:val="00955224"/>
    <w:rsid w:val="00955DC2"/>
    <w:rsid w:val="0096086F"/>
    <w:rsid w:val="0096379A"/>
    <w:rsid w:val="0096467F"/>
    <w:rsid w:val="00964DCC"/>
    <w:rsid w:val="009671B1"/>
    <w:rsid w:val="00973726"/>
    <w:rsid w:val="00974AA2"/>
    <w:rsid w:val="00975FD8"/>
    <w:rsid w:val="0098151E"/>
    <w:rsid w:val="00981F23"/>
    <w:rsid w:val="00982F8A"/>
    <w:rsid w:val="0098718D"/>
    <w:rsid w:val="00992EE3"/>
    <w:rsid w:val="0099416C"/>
    <w:rsid w:val="0099472E"/>
    <w:rsid w:val="009955BE"/>
    <w:rsid w:val="0099604E"/>
    <w:rsid w:val="009A0970"/>
    <w:rsid w:val="009B03E7"/>
    <w:rsid w:val="009B1905"/>
    <w:rsid w:val="009C1A93"/>
    <w:rsid w:val="009C242D"/>
    <w:rsid w:val="009C2941"/>
    <w:rsid w:val="009C2A6F"/>
    <w:rsid w:val="009C2D71"/>
    <w:rsid w:val="009C50E0"/>
    <w:rsid w:val="009C74E3"/>
    <w:rsid w:val="009D018C"/>
    <w:rsid w:val="009D5852"/>
    <w:rsid w:val="009D5AB7"/>
    <w:rsid w:val="009E1AA2"/>
    <w:rsid w:val="009E1EF7"/>
    <w:rsid w:val="009E2E72"/>
    <w:rsid w:val="009E4DBD"/>
    <w:rsid w:val="009E6B7C"/>
    <w:rsid w:val="009E6BEC"/>
    <w:rsid w:val="009F1D6F"/>
    <w:rsid w:val="009F7529"/>
    <w:rsid w:val="00A02A84"/>
    <w:rsid w:val="00A06879"/>
    <w:rsid w:val="00A06DE1"/>
    <w:rsid w:val="00A06FE5"/>
    <w:rsid w:val="00A209FD"/>
    <w:rsid w:val="00A21CD9"/>
    <w:rsid w:val="00A2222F"/>
    <w:rsid w:val="00A24FF7"/>
    <w:rsid w:val="00A25B2E"/>
    <w:rsid w:val="00A3282F"/>
    <w:rsid w:val="00A337AE"/>
    <w:rsid w:val="00A345B1"/>
    <w:rsid w:val="00A34C81"/>
    <w:rsid w:val="00A35C0C"/>
    <w:rsid w:val="00A40FF9"/>
    <w:rsid w:val="00A41436"/>
    <w:rsid w:val="00A41F25"/>
    <w:rsid w:val="00A430EC"/>
    <w:rsid w:val="00A45AD4"/>
    <w:rsid w:val="00A45F65"/>
    <w:rsid w:val="00A46E8B"/>
    <w:rsid w:val="00A51F08"/>
    <w:rsid w:val="00A539DD"/>
    <w:rsid w:val="00A57F26"/>
    <w:rsid w:val="00A636E2"/>
    <w:rsid w:val="00A63891"/>
    <w:rsid w:val="00A65C84"/>
    <w:rsid w:val="00A67E56"/>
    <w:rsid w:val="00A70107"/>
    <w:rsid w:val="00A76C04"/>
    <w:rsid w:val="00A85AE3"/>
    <w:rsid w:val="00A85E95"/>
    <w:rsid w:val="00A8787A"/>
    <w:rsid w:val="00A9085E"/>
    <w:rsid w:val="00A91B10"/>
    <w:rsid w:val="00A95DD7"/>
    <w:rsid w:val="00AA38D2"/>
    <w:rsid w:val="00AA490F"/>
    <w:rsid w:val="00AA4C89"/>
    <w:rsid w:val="00AB0E27"/>
    <w:rsid w:val="00AB1DD2"/>
    <w:rsid w:val="00AB20AD"/>
    <w:rsid w:val="00AB326B"/>
    <w:rsid w:val="00AB3871"/>
    <w:rsid w:val="00AB4B6F"/>
    <w:rsid w:val="00AB5EA1"/>
    <w:rsid w:val="00AC09ED"/>
    <w:rsid w:val="00AC2551"/>
    <w:rsid w:val="00AC5F7F"/>
    <w:rsid w:val="00AD15A7"/>
    <w:rsid w:val="00AD1832"/>
    <w:rsid w:val="00AE0D46"/>
    <w:rsid w:val="00AE11B2"/>
    <w:rsid w:val="00AF5495"/>
    <w:rsid w:val="00B008C3"/>
    <w:rsid w:val="00B019DF"/>
    <w:rsid w:val="00B01F37"/>
    <w:rsid w:val="00B05424"/>
    <w:rsid w:val="00B10711"/>
    <w:rsid w:val="00B10AE9"/>
    <w:rsid w:val="00B1333A"/>
    <w:rsid w:val="00B14089"/>
    <w:rsid w:val="00B20007"/>
    <w:rsid w:val="00B20E49"/>
    <w:rsid w:val="00B21561"/>
    <w:rsid w:val="00B2386E"/>
    <w:rsid w:val="00B27BE7"/>
    <w:rsid w:val="00B409C9"/>
    <w:rsid w:val="00B42F8A"/>
    <w:rsid w:val="00B51144"/>
    <w:rsid w:val="00B513CC"/>
    <w:rsid w:val="00B56176"/>
    <w:rsid w:val="00B56493"/>
    <w:rsid w:val="00B77318"/>
    <w:rsid w:val="00B77F33"/>
    <w:rsid w:val="00B82B72"/>
    <w:rsid w:val="00B90050"/>
    <w:rsid w:val="00B91DB7"/>
    <w:rsid w:val="00B9302C"/>
    <w:rsid w:val="00B93DF4"/>
    <w:rsid w:val="00BA36AE"/>
    <w:rsid w:val="00BA4C92"/>
    <w:rsid w:val="00BA5FF3"/>
    <w:rsid w:val="00BB7523"/>
    <w:rsid w:val="00BC1338"/>
    <w:rsid w:val="00BC63F7"/>
    <w:rsid w:val="00BD432A"/>
    <w:rsid w:val="00BD50FF"/>
    <w:rsid w:val="00BE09DA"/>
    <w:rsid w:val="00BE632B"/>
    <w:rsid w:val="00BE686E"/>
    <w:rsid w:val="00BE72F3"/>
    <w:rsid w:val="00BE77AE"/>
    <w:rsid w:val="00BF0A42"/>
    <w:rsid w:val="00BF0C15"/>
    <w:rsid w:val="00BF3D30"/>
    <w:rsid w:val="00BF3E0B"/>
    <w:rsid w:val="00BF43DA"/>
    <w:rsid w:val="00C075BD"/>
    <w:rsid w:val="00C0793E"/>
    <w:rsid w:val="00C1016E"/>
    <w:rsid w:val="00C10B12"/>
    <w:rsid w:val="00C12A4D"/>
    <w:rsid w:val="00C14055"/>
    <w:rsid w:val="00C22834"/>
    <w:rsid w:val="00C25C2D"/>
    <w:rsid w:val="00C27C7F"/>
    <w:rsid w:val="00C3017D"/>
    <w:rsid w:val="00C321C1"/>
    <w:rsid w:val="00C3486A"/>
    <w:rsid w:val="00C36F2A"/>
    <w:rsid w:val="00C43362"/>
    <w:rsid w:val="00C4341F"/>
    <w:rsid w:val="00C445DC"/>
    <w:rsid w:val="00C46752"/>
    <w:rsid w:val="00C51F3B"/>
    <w:rsid w:val="00C53BBF"/>
    <w:rsid w:val="00C56ADD"/>
    <w:rsid w:val="00C571BE"/>
    <w:rsid w:val="00C66CB7"/>
    <w:rsid w:val="00C74125"/>
    <w:rsid w:val="00C74F6B"/>
    <w:rsid w:val="00C751C5"/>
    <w:rsid w:val="00C76C76"/>
    <w:rsid w:val="00C77E4D"/>
    <w:rsid w:val="00C84F3F"/>
    <w:rsid w:val="00C9301C"/>
    <w:rsid w:val="00C942DC"/>
    <w:rsid w:val="00C9490D"/>
    <w:rsid w:val="00C9668F"/>
    <w:rsid w:val="00C969CC"/>
    <w:rsid w:val="00CA6F5B"/>
    <w:rsid w:val="00CA744E"/>
    <w:rsid w:val="00CA785E"/>
    <w:rsid w:val="00CB1823"/>
    <w:rsid w:val="00CB4CA3"/>
    <w:rsid w:val="00CB505C"/>
    <w:rsid w:val="00CB5794"/>
    <w:rsid w:val="00CC30A1"/>
    <w:rsid w:val="00CC51C6"/>
    <w:rsid w:val="00CC5BEC"/>
    <w:rsid w:val="00CD0211"/>
    <w:rsid w:val="00CD0741"/>
    <w:rsid w:val="00CD2487"/>
    <w:rsid w:val="00CD48A5"/>
    <w:rsid w:val="00CE0EC3"/>
    <w:rsid w:val="00CF06B3"/>
    <w:rsid w:val="00CF1E1D"/>
    <w:rsid w:val="00CF536E"/>
    <w:rsid w:val="00D07755"/>
    <w:rsid w:val="00D1201E"/>
    <w:rsid w:val="00D1539E"/>
    <w:rsid w:val="00D216C7"/>
    <w:rsid w:val="00D22AB8"/>
    <w:rsid w:val="00D22B30"/>
    <w:rsid w:val="00D24038"/>
    <w:rsid w:val="00D25B4D"/>
    <w:rsid w:val="00D3278B"/>
    <w:rsid w:val="00D32ECD"/>
    <w:rsid w:val="00D348D9"/>
    <w:rsid w:val="00D37F45"/>
    <w:rsid w:val="00D404DE"/>
    <w:rsid w:val="00D46031"/>
    <w:rsid w:val="00D46F0B"/>
    <w:rsid w:val="00D60581"/>
    <w:rsid w:val="00D6190B"/>
    <w:rsid w:val="00D619FF"/>
    <w:rsid w:val="00D62DB6"/>
    <w:rsid w:val="00D64489"/>
    <w:rsid w:val="00D65678"/>
    <w:rsid w:val="00D7065B"/>
    <w:rsid w:val="00D7176D"/>
    <w:rsid w:val="00D74ACB"/>
    <w:rsid w:val="00D80F78"/>
    <w:rsid w:val="00D834D2"/>
    <w:rsid w:val="00D844E1"/>
    <w:rsid w:val="00D932E3"/>
    <w:rsid w:val="00D950C1"/>
    <w:rsid w:val="00D96E54"/>
    <w:rsid w:val="00DA256B"/>
    <w:rsid w:val="00DA654C"/>
    <w:rsid w:val="00DB44EB"/>
    <w:rsid w:val="00DB49BD"/>
    <w:rsid w:val="00DC0421"/>
    <w:rsid w:val="00DC4991"/>
    <w:rsid w:val="00DC54EF"/>
    <w:rsid w:val="00DD005D"/>
    <w:rsid w:val="00DD1AD2"/>
    <w:rsid w:val="00DD1D68"/>
    <w:rsid w:val="00DD442A"/>
    <w:rsid w:val="00DD50E7"/>
    <w:rsid w:val="00DD64EE"/>
    <w:rsid w:val="00DE0E0F"/>
    <w:rsid w:val="00DE42B2"/>
    <w:rsid w:val="00DF0332"/>
    <w:rsid w:val="00DF2492"/>
    <w:rsid w:val="00E0394E"/>
    <w:rsid w:val="00E03F19"/>
    <w:rsid w:val="00E118F0"/>
    <w:rsid w:val="00E13618"/>
    <w:rsid w:val="00E13ABA"/>
    <w:rsid w:val="00E3000B"/>
    <w:rsid w:val="00E35423"/>
    <w:rsid w:val="00E3608B"/>
    <w:rsid w:val="00E4454A"/>
    <w:rsid w:val="00E44A19"/>
    <w:rsid w:val="00E4771F"/>
    <w:rsid w:val="00E503CC"/>
    <w:rsid w:val="00E513C2"/>
    <w:rsid w:val="00E542A7"/>
    <w:rsid w:val="00E57F76"/>
    <w:rsid w:val="00E61D34"/>
    <w:rsid w:val="00E62416"/>
    <w:rsid w:val="00E63488"/>
    <w:rsid w:val="00E70F6F"/>
    <w:rsid w:val="00E73288"/>
    <w:rsid w:val="00E73DE8"/>
    <w:rsid w:val="00E77B22"/>
    <w:rsid w:val="00E77B68"/>
    <w:rsid w:val="00E81AC8"/>
    <w:rsid w:val="00E84B43"/>
    <w:rsid w:val="00E878E1"/>
    <w:rsid w:val="00E9086E"/>
    <w:rsid w:val="00E91256"/>
    <w:rsid w:val="00E92425"/>
    <w:rsid w:val="00E92E20"/>
    <w:rsid w:val="00E96CE9"/>
    <w:rsid w:val="00E97676"/>
    <w:rsid w:val="00EA4428"/>
    <w:rsid w:val="00EA4C91"/>
    <w:rsid w:val="00EB0E84"/>
    <w:rsid w:val="00EB4F2E"/>
    <w:rsid w:val="00EB72AE"/>
    <w:rsid w:val="00EC1B2B"/>
    <w:rsid w:val="00EC3E16"/>
    <w:rsid w:val="00EC7FFD"/>
    <w:rsid w:val="00ED3435"/>
    <w:rsid w:val="00EE20C3"/>
    <w:rsid w:val="00EE2776"/>
    <w:rsid w:val="00EE2A7B"/>
    <w:rsid w:val="00EE4F90"/>
    <w:rsid w:val="00EE7C7E"/>
    <w:rsid w:val="00EF4D63"/>
    <w:rsid w:val="00EF7960"/>
    <w:rsid w:val="00F02B6C"/>
    <w:rsid w:val="00F0752A"/>
    <w:rsid w:val="00F10193"/>
    <w:rsid w:val="00F102C3"/>
    <w:rsid w:val="00F139F0"/>
    <w:rsid w:val="00F145CF"/>
    <w:rsid w:val="00F2066C"/>
    <w:rsid w:val="00F23897"/>
    <w:rsid w:val="00F268C1"/>
    <w:rsid w:val="00F31B39"/>
    <w:rsid w:val="00F35BA1"/>
    <w:rsid w:val="00F438B3"/>
    <w:rsid w:val="00F43D26"/>
    <w:rsid w:val="00F52268"/>
    <w:rsid w:val="00F536EF"/>
    <w:rsid w:val="00F53AFF"/>
    <w:rsid w:val="00F54D76"/>
    <w:rsid w:val="00F64490"/>
    <w:rsid w:val="00F64B5C"/>
    <w:rsid w:val="00F7150F"/>
    <w:rsid w:val="00F7184A"/>
    <w:rsid w:val="00F73E3D"/>
    <w:rsid w:val="00F808D2"/>
    <w:rsid w:val="00F81236"/>
    <w:rsid w:val="00F81359"/>
    <w:rsid w:val="00F81EA1"/>
    <w:rsid w:val="00F85343"/>
    <w:rsid w:val="00F93976"/>
    <w:rsid w:val="00F943D9"/>
    <w:rsid w:val="00FA076C"/>
    <w:rsid w:val="00FA0845"/>
    <w:rsid w:val="00FA1655"/>
    <w:rsid w:val="00FA681B"/>
    <w:rsid w:val="00FB3A48"/>
    <w:rsid w:val="00FB44F4"/>
    <w:rsid w:val="00FB46F0"/>
    <w:rsid w:val="00FB47CC"/>
    <w:rsid w:val="00FB531B"/>
    <w:rsid w:val="00FC1526"/>
    <w:rsid w:val="00FC36A6"/>
    <w:rsid w:val="00FC50AF"/>
    <w:rsid w:val="00FD10B4"/>
    <w:rsid w:val="00FD3DA0"/>
    <w:rsid w:val="00FD5667"/>
    <w:rsid w:val="00FE1094"/>
    <w:rsid w:val="00FE17F2"/>
    <w:rsid w:val="00FE4373"/>
    <w:rsid w:val="00FF0F11"/>
    <w:rsid w:val="00FF12C6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hadow/>
      <w:sz w:val="21"/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hadow/>
      <w:sz w:val="2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A744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  <w:style w:type="character" w:customStyle="1" w:styleId="fontstyle01">
    <w:name w:val="fontstyle01"/>
    <w:basedOn w:val="DefaultParagraphFont"/>
    <w:rsid w:val="00F31B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31B3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31B39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31B39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F31B3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F36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hadow/>
      <w:sz w:val="21"/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hadow/>
      <w:sz w:val="2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A744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  <w:style w:type="character" w:customStyle="1" w:styleId="fontstyle01">
    <w:name w:val="fontstyle01"/>
    <w:basedOn w:val="DefaultParagraphFont"/>
    <w:rsid w:val="00F31B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31B3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31B39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31B39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F31B3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F36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8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9823954932465"/>
          <c:y val="0.1415887904294095"/>
          <c:w val="0.86404647589782979"/>
          <c:h val="0.81243419807633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I kvartal</c:v>
                </c:pt>
                <c:pt idx="1">
                  <c:v>II kvartal</c:v>
                </c:pt>
                <c:pt idx="2">
                  <c:v>III kvartal</c:v>
                </c:pt>
                <c:pt idx="3">
                  <c:v>IV kvartal</c:v>
                </c:pt>
                <c:pt idx="4">
                  <c:v>Rebalans 2019. </c:v>
                </c:pt>
                <c:pt idx="5">
                  <c:v>Plan za 2020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23250399</c:v>
                </c:pt>
                <c:pt idx="1">
                  <c:v>18067088</c:v>
                </c:pt>
                <c:pt idx="2">
                  <c:v>17219061</c:v>
                </c:pt>
                <c:pt idx="3">
                  <c:v>23917446</c:v>
                </c:pt>
                <c:pt idx="4">
                  <c:v>97716634</c:v>
                </c:pt>
                <c:pt idx="5">
                  <c:v>82453994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rashod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I kvartal</c:v>
                </c:pt>
                <c:pt idx="1">
                  <c:v>II kvartal</c:v>
                </c:pt>
                <c:pt idx="2">
                  <c:v>III kvartal</c:v>
                </c:pt>
                <c:pt idx="3">
                  <c:v>IV kvartal</c:v>
                </c:pt>
                <c:pt idx="4">
                  <c:v>Rebalans 2019. </c:v>
                </c:pt>
                <c:pt idx="5">
                  <c:v>Plan za 2020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28334499</c:v>
                </c:pt>
                <c:pt idx="1">
                  <c:v>18433942</c:v>
                </c:pt>
                <c:pt idx="2">
                  <c:v>18147928</c:v>
                </c:pt>
                <c:pt idx="3">
                  <c:v>20041121</c:v>
                </c:pt>
                <c:pt idx="4">
                  <c:v>97620926</c:v>
                </c:pt>
                <c:pt idx="5">
                  <c:v>84957490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24272640"/>
        <c:axId val="88364672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rezultat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Sheet1!$A$2:$A$7</c:f>
              <c:strCache>
                <c:ptCount val="6"/>
                <c:pt idx="0">
                  <c:v>I kvartal</c:v>
                </c:pt>
                <c:pt idx="1">
                  <c:v>II kvartal</c:v>
                </c:pt>
                <c:pt idx="2">
                  <c:v>III kvartal</c:v>
                </c:pt>
                <c:pt idx="3">
                  <c:v>IV kvartal</c:v>
                </c:pt>
                <c:pt idx="4">
                  <c:v>Rebalans 2019. </c:v>
                </c:pt>
                <c:pt idx="5">
                  <c:v>Plan za 2020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-5084100</c:v>
                </c:pt>
                <c:pt idx="1">
                  <c:v>-366854</c:v>
                </c:pt>
                <c:pt idx="2">
                  <c:v>-928867</c:v>
                </c:pt>
                <c:pt idx="3">
                  <c:v>3876325</c:v>
                </c:pt>
                <c:pt idx="4">
                  <c:v>95708</c:v>
                </c:pt>
                <c:pt idx="5">
                  <c:v>-2503496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272640"/>
        <c:axId val="88364672"/>
      </c:lineChart>
      <c:catAx>
        <c:axId val="124272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364672"/>
        <c:crosses val="autoZero"/>
        <c:auto val="1"/>
        <c:lblAlgn val="ctr"/>
        <c:lblOffset val="100"/>
        <c:noMultiLvlLbl val="0"/>
      </c:catAx>
      <c:valAx>
        <c:axId val="8836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427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1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7690203080244"/>
          <c:y val="0.19191168750964954"/>
          <c:w val="0.65749067663442551"/>
          <c:h val="0.627941330863053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5323887939782404E-2"/>
                  <c:y val="-2.05369769955226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8973337957551227E-2"/>
                  <c:y val="2.761772425505635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6382814564286836"/>
                  <c:y val="7.98486953836652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866869618459191E-2"/>
                  <c:y val="5.47274972981318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582166323169336"/>
                  <c:y val="0.174803149606299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390477197061773E-2"/>
                  <c:y val="0.177551953064690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372914795046589E-2"/>
                  <c:y val="1.9326231279913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Prihod od električne energije</c:v>
                </c:pt>
                <c:pt idx="1">
                  <c:v>Prihod od prodaje usluga</c:v>
                </c:pt>
                <c:pt idx="2">
                  <c:v>Prihod od vlastitih učinaka na realizaciji investicija</c:v>
                </c:pt>
                <c:pt idx="3">
                  <c:v>Ostali poslovni prihodi</c:v>
                </c:pt>
                <c:pt idx="4">
                  <c:v>Finansijski prihodi</c:v>
                </c:pt>
                <c:pt idx="5">
                  <c:v>Ostali prihodi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59729312</c:v>
                </c:pt>
                <c:pt idx="1">
                  <c:v>12228682</c:v>
                </c:pt>
                <c:pt idx="2">
                  <c:v>5000000</c:v>
                </c:pt>
                <c:pt idx="3">
                  <c:v>1800000</c:v>
                </c:pt>
                <c:pt idx="4">
                  <c:v>1401000</c:v>
                </c:pt>
                <c:pt idx="5">
                  <c:v>2295000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50"/>
      <c:depthPercent val="8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89012667628768E-2"/>
          <c:y val="0.14422764227642276"/>
          <c:w val="0.8620086774867427"/>
          <c:h val="0.7311111111111112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6350" h="95250"/>
              <a:contourClr>
                <a:srgbClr val="000000"/>
              </a:contourClr>
            </a:sp3d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49585419989703844"/>
                  <c:y val="6.2287826266614631E-2"/>
                </c:manualLayout>
              </c:layout>
              <c:tx>
                <c:rich>
                  <a:bodyPr/>
                  <a:lstStyle/>
                  <a:p>
                    <a:r>
                      <a:rPr lang="sr-Cyrl-BA" baseline="0"/>
                      <a:t>Трошкови набавке  ел.ен.
57%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1569570684693194E-2"/>
                  <c:y val="4.38874222354858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86387995712754"/>
                      <c:h val="0.2097377623715402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721413440683259"/>
                  <c:y val="1.9436039882769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80203559764035"/>
                      <c:h val="0.1038060038413565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290587470778371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901925040720392E-2"/>
                  <c:y val="5.5007613844187842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Трошкови амортизације</a:t>
                    </a:r>
                    <a:r>
                      <a:rPr lang="sr-Cyrl-BA" baseline="0"/>
                      <a:t>
12%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3.0010802508207375E-2"/>
                  <c:y val="3.12658876824070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sr-Cyrl-BA"/>
                      <a:t>Нематеријални трошкови</a:t>
                    </a:r>
                    <a:r>
                      <a:rPr lang="sr-Cyrl-BA" baseline="0"/>
                      <a:t>
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727498291009"/>
                      <c:h val="0.203924611464383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5.0279430505270443E-2"/>
                  <c:y val="-9.5615497042461597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Финансијски расходи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1567545214404472E-2"/>
                  <c:y val="-0.2653471377302327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Остали расходи</a:t>
                    </a:r>
                    <a:r>
                      <a:rPr lang="sr-Cyrl-BA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Трошкови набавке електричне енергије</c:v>
                </c:pt>
                <c:pt idx="1">
                  <c:v>Бруто зараде, накнаде и остала лична примања </c:v>
                </c:pt>
                <c:pt idx="2">
                  <c:v>Трошкови материјала, горива и енергије </c:v>
                </c:pt>
                <c:pt idx="3">
                  <c:v>Трошкови производних услуга </c:v>
                </c:pt>
                <c:pt idx="4">
                  <c:v>Амортизација и резервисања </c:v>
                </c:pt>
                <c:pt idx="5">
                  <c:v>Нематеријални трошкови са порезима и доприносима</c:v>
                </c:pt>
                <c:pt idx="6">
                  <c:v>Финансијски расходи</c:v>
                </c:pt>
                <c:pt idx="7">
                  <c:v>Остали расходи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39278323</c:v>
                </c:pt>
                <c:pt idx="1">
                  <c:v>28248167</c:v>
                </c:pt>
                <c:pt idx="2">
                  <c:v>2000000</c:v>
                </c:pt>
                <c:pt idx="3">
                  <c:v>1793000</c:v>
                </c:pt>
                <c:pt idx="4">
                  <c:v>10100000</c:v>
                </c:pt>
                <c:pt idx="5">
                  <c:v>1558000</c:v>
                </c:pt>
                <c:pt idx="6">
                  <c:v>1200000</c:v>
                </c:pt>
                <c:pt idx="7">
                  <c:v>780000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E626-2C6A-42B3-B62B-CB10D2F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36</Pages>
  <Words>7670</Words>
  <Characters>43719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Josipovic</dc:creator>
  <cp:keywords/>
  <dc:description/>
  <cp:lastModifiedBy>Milijana Novakovic</cp:lastModifiedBy>
  <cp:revision>59</cp:revision>
  <cp:lastPrinted>2020-03-12T06:18:00Z</cp:lastPrinted>
  <dcterms:created xsi:type="dcterms:W3CDTF">2019-01-29T09:31:00Z</dcterms:created>
  <dcterms:modified xsi:type="dcterms:W3CDTF">2020-03-12T06:18:00Z</dcterms:modified>
</cp:coreProperties>
</file>