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tbl>
      <w:tblPr>
        <w:tblpPr w:leftFromText="187" w:rightFromText="187" w:vertAnchor="page" w:horzAnchor="margin" w:tblpXSpec="center" w:tblpY="2851"/>
        <w:tblW w:w="40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7802"/>
      </w:tblGrid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МХ ''ЕЛЕКТРОПРИВРЕДА РС'' МП а.д. Требиње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  <w:r w:rsidRPr="00522865"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>ЗЕДП ''ЕЛЕКТРО-БИЈЕЉИНА'' а.д. БИЈЕЉИНА</w:t>
            </w:r>
          </w:p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365F91"/>
              </w:rPr>
            </w:pPr>
          </w:p>
        </w:tc>
      </w:tr>
      <w:tr w:rsidR="00596AAD" w:rsidTr="00596AAD">
        <w:trPr>
          <w:trHeight w:val="2057"/>
        </w:trPr>
        <w:tc>
          <w:tcPr>
            <w:tcW w:w="7802" w:type="dxa"/>
          </w:tcPr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</w:pPr>
          </w:p>
          <w:p w:rsidR="00596AAD" w:rsidRPr="00522865" w:rsidRDefault="0031579C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color w:val="4F81BD"/>
                <w:sz w:val="80"/>
                <w:szCs w:val="80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CS"/>
              </w:rPr>
              <w:t xml:space="preserve">РЕБАЛАНС </w:t>
            </w:r>
            <w:r w:rsidR="00596AAD" w:rsidRPr="00522865"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  <w:t>ПЛАН</w:t>
            </w:r>
            <w:r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  <w:t>А</w:t>
            </w:r>
            <w:r w:rsidR="00596AAD" w:rsidRPr="00522865">
              <w:rPr>
                <w:rFonts w:ascii="Cambria" w:eastAsia="Times New Roman" w:hAnsi="Cambria" w:cs="Times New Roman"/>
                <w:b/>
                <w:color w:val="365F91"/>
                <w:sz w:val="72"/>
                <w:szCs w:val="80"/>
                <w:lang w:val="sr-Cyrl-RS"/>
              </w:rPr>
              <w:t xml:space="preserve"> ПОСЛОВАЊА    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775761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</w:pPr>
            <w:r w:rsidRPr="00775761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за 201</w:t>
            </w:r>
            <w:r w:rsidR="00FC0EA7">
              <w:rPr>
                <w:rFonts w:ascii="Cambria" w:eastAsia="Times New Roman" w:hAnsi="Cambria" w:cs="Times New Roman"/>
                <w:b/>
                <w:color w:val="365F91"/>
                <w:sz w:val="44"/>
                <w:lang w:val="sr-Latn-BA"/>
              </w:rPr>
              <w:t>8</w:t>
            </w:r>
            <w:r w:rsidRPr="00775761">
              <w:rPr>
                <w:rFonts w:ascii="Cambria" w:eastAsia="Times New Roman" w:hAnsi="Cambria" w:cs="Times New Roman"/>
                <w:b/>
                <w:color w:val="365F91"/>
                <w:sz w:val="44"/>
                <w:lang w:val="sr-Cyrl-RS"/>
              </w:rPr>
              <w:t>. годину</w:t>
            </w:r>
          </w:p>
          <w:p w:rsidR="00596AAD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Latn-RS"/>
              </w:rPr>
            </w:pPr>
          </w:p>
          <w:p w:rsidR="00596AAD" w:rsidRPr="00963296" w:rsidRDefault="00596AAD" w:rsidP="00DF0332">
            <w:pPr>
              <w:pStyle w:val="NoSpacing"/>
              <w:ind w:left="360"/>
              <w:rPr>
                <w:rFonts w:ascii="Cambria" w:eastAsia="Times New Roman" w:hAnsi="Cambria" w:cs="Times New Roman"/>
                <w:lang w:val="sr-Cyrl-RS"/>
              </w:rPr>
            </w:pPr>
            <w:r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  <w:t xml:space="preserve">                                          </w:t>
            </w:r>
          </w:p>
        </w:tc>
      </w:tr>
      <w:tr w:rsidR="00596AAD" w:rsidTr="00596AAD">
        <w:trPr>
          <w:trHeight w:val="416"/>
        </w:trPr>
        <w:tc>
          <w:tcPr>
            <w:tcW w:w="780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96AAD" w:rsidRPr="00522865" w:rsidRDefault="00596AAD" w:rsidP="00596AAD">
            <w:pPr>
              <w:pStyle w:val="NoSpacing"/>
              <w:jc w:val="center"/>
              <w:rPr>
                <w:rFonts w:ascii="Cambria" w:eastAsia="Times New Roman" w:hAnsi="Cambria" w:cs="Times New Roman"/>
                <w:b/>
                <w:color w:val="365F91"/>
                <w:sz w:val="28"/>
                <w:lang w:val="sr-Cyrl-RS"/>
              </w:rPr>
            </w:pPr>
          </w:p>
        </w:tc>
      </w:tr>
    </w:tbl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rPr>
          <w:rFonts w:ascii="Arial" w:hAnsi="Arial" w:cs="Arial"/>
        </w:rPr>
      </w:pPr>
    </w:p>
    <w:p w:rsidR="005A77A9" w:rsidRDefault="005A77A9" w:rsidP="005A77A9">
      <w:pPr>
        <w:tabs>
          <w:tab w:val="left" w:pos="1040"/>
        </w:tabs>
        <w:rPr>
          <w:rFonts w:ascii="Arial" w:hAnsi="Arial" w:cs="Arial"/>
          <w:b/>
          <w:bCs/>
          <w:sz w:val="52"/>
        </w:rPr>
      </w:pPr>
      <w:r>
        <w:rPr>
          <w:rFonts w:ascii="Arial" w:hAnsi="Arial" w:cs="Arial"/>
          <w:b/>
          <w:bCs/>
          <w:sz w:val="52"/>
        </w:rPr>
        <w:tab/>
      </w:r>
    </w:p>
    <w:p w:rsidR="005A77A9" w:rsidRDefault="005A77A9" w:rsidP="005A77A9">
      <w:pPr>
        <w:jc w:val="center"/>
        <w:rPr>
          <w:rFonts w:ascii="Arial" w:hAnsi="Arial" w:cs="Arial"/>
          <w:b/>
          <w:bCs/>
          <w:sz w:val="52"/>
        </w:rPr>
      </w:pPr>
    </w:p>
    <w:p w:rsidR="005A77A9" w:rsidRDefault="005A77A9" w:rsidP="005A77A9">
      <w:pPr>
        <w:jc w:val="center"/>
        <w:rPr>
          <w:rFonts w:ascii="Arial" w:hAnsi="Arial" w:cs="Arial"/>
          <w:b/>
          <w:bCs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Cyrl-CS"/>
        </w:rPr>
      </w:pPr>
    </w:p>
    <w:p w:rsidR="005A77A9" w:rsidRPr="005A77A9" w:rsidRDefault="005A77A9" w:rsidP="005A77A9">
      <w:pPr>
        <w:tabs>
          <w:tab w:val="left" w:pos="6920"/>
        </w:tabs>
        <w:rPr>
          <w:rFonts w:ascii="Arial" w:hAnsi="Arial" w:cs="Arial"/>
          <w:sz w:val="48"/>
          <w:lang w:val="sr-Latn-R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p w:rsidR="005A77A9" w:rsidRPr="0081017D" w:rsidRDefault="005A77A9" w:rsidP="005A77A9">
      <w:pPr>
        <w:rPr>
          <w:rFonts w:ascii="Cambria" w:hAnsi="Cambria" w:cs="Arial"/>
          <w:sz w:val="20"/>
          <w:lang w:val="sr-Cyrl-CS"/>
        </w:rPr>
      </w:pPr>
    </w:p>
    <w:tbl>
      <w:tblPr>
        <w:tblpPr w:leftFromText="187" w:rightFromText="187" w:vertAnchor="page" w:horzAnchor="margin" w:tblpXSpec="right" w:tblpY="12871"/>
        <w:tblW w:w="2795" w:type="pct"/>
        <w:tblLook w:val="04A0" w:firstRow="1" w:lastRow="0" w:firstColumn="1" w:lastColumn="0" w:noHBand="0" w:noVBand="1"/>
      </w:tblPr>
      <w:tblGrid>
        <w:gridCol w:w="5361"/>
      </w:tblGrid>
      <w:tr w:rsidR="00BE77AE" w:rsidRPr="00522865" w:rsidTr="00BE77AE">
        <w:tc>
          <w:tcPr>
            <w:tcW w:w="5361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E77AE" w:rsidRPr="00522865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  <w:r w:rsidRPr="00522865">
              <w:rPr>
                <w:b/>
                <w:color w:val="365F91"/>
                <w:sz w:val="24"/>
                <w:lang w:val="sr-Cyrl-RS"/>
              </w:rPr>
              <w:t>Бијељина</w:t>
            </w:r>
          </w:p>
          <w:p w:rsidR="00BE77AE" w:rsidRPr="00522865" w:rsidRDefault="00140162" w:rsidP="00BE77AE">
            <w:pPr>
              <w:pStyle w:val="NoSpacing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  <w:lang w:val="sr-Cyrl-CS"/>
              </w:rPr>
              <w:t>децембар</w:t>
            </w:r>
            <w:r w:rsidR="00BE77AE" w:rsidRPr="00522865">
              <w:rPr>
                <w:b/>
                <w:color w:val="365F91"/>
                <w:sz w:val="24"/>
                <w:lang w:val="sr-Cyrl-RS"/>
              </w:rPr>
              <w:t>, 201</w:t>
            </w:r>
            <w:r w:rsidR="00FC0EA7">
              <w:rPr>
                <w:b/>
                <w:color w:val="365F91"/>
                <w:sz w:val="24"/>
              </w:rPr>
              <w:t>8</w:t>
            </w:r>
            <w:r w:rsidR="00BE77AE" w:rsidRPr="00522865">
              <w:rPr>
                <w:b/>
                <w:color w:val="365F91"/>
                <w:sz w:val="24"/>
                <w:lang w:val="sr-Cyrl-RS"/>
              </w:rPr>
              <w:t>.</w:t>
            </w:r>
          </w:p>
          <w:p w:rsidR="00BE77AE" w:rsidRPr="00522865" w:rsidRDefault="00BE77AE" w:rsidP="00BE77AE">
            <w:pPr>
              <w:pStyle w:val="NoSpacing"/>
              <w:rPr>
                <w:b/>
                <w:color w:val="365F91"/>
                <w:sz w:val="24"/>
              </w:rPr>
            </w:pPr>
          </w:p>
        </w:tc>
      </w:tr>
    </w:tbl>
    <w:p w:rsidR="00DF0332" w:rsidRDefault="00DF0332" w:rsidP="005A77A9">
      <w:pPr>
        <w:spacing w:after="200" w:line="276" w:lineRule="auto"/>
      </w:pPr>
    </w:p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/>
    <w:p w:rsidR="00DF0332" w:rsidRPr="00DF0332" w:rsidRDefault="00DF0332" w:rsidP="00DF0332">
      <w:pPr>
        <w:tabs>
          <w:tab w:val="left" w:pos="7335"/>
        </w:tabs>
        <w:spacing w:after="200" w:line="276" w:lineRule="auto"/>
        <w:rPr>
          <w:rFonts w:asciiTheme="majorHAnsi" w:hAnsiTheme="majorHAnsi"/>
          <w:lang w:val="sr-Cyrl-BA"/>
        </w:rPr>
      </w:pPr>
      <w:r w:rsidRPr="00DF0332">
        <w:rPr>
          <w:rFonts w:asciiTheme="majorHAnsi" w:hAnsiTheme="majorHAnsi"/>
        </w:rPr>
        <w:t xml:space="preserve">                                                                                          </w:t>
      </w:r>
      <w:r>
        <w:rPr>
          <w:rFonts w:asciiTheme="majorHAnsi" w:hAnsiTheme="majorHAnsi"/>
          <w:lang w:val="sr-Cyrl-BA"/>
        </w:rPr>
        <w:t xml:space="preserve">                </w:t>
      </w:r>
      <w:r w:rsidRPr="00DF0332">
        <w:rPr>
          <w:rFonts w:asciiTheme="majorHAnsi" w:hAnsiTheme="majorHAnsi"/>
          <w:lang w:val="sr-Cyrl-BA"/>
        </w:rPr>
        <w:t>ПРЕДСЈЕДНИК СА</w:t>
      </w:r>
    </w:p>
    <w:p w:rsidR="00DF0332" w:rsidRPr="00DF0332" w:rsidRDefault="00DF0332" w:rsidP="00DF0332">
      <w:pPr>
        <w:tabs>
          <w:tab w:val="left" w:pos="7335"/>
        </w:tabs>
        <w:spacing w:after="200" w:line="276" w:lineRule="auto"/>
        <w:rPr>
          <w:rFonts w:asciiTheme="majorHAnsi" w:hAnsiTheme="majorHAnsi"/>
          <w:lang w:val="sr-Cyrl-BA"/>
        </w:rPr>
      </w:pPr>
      <w:r w:rsidRPr="00DF0332">
        <w:rPr>
          <w:rFonts w:asciiTheme="majorHAnsi" w:hAnsiTheme="majorHAnsi"/>
          <w:lang w:val="sr-Cyrl-BA"/>
        </w:rPr>
        <w:t xml:space="preserve">                                                                                       </w:t>
      </w:r>
      <w:r>
        <w:rPr>
          <w:rFonts w:asciiTheme="majorHAnsi" w:hAnsiTheme="majorHAnsi"/>
          <w:lang w:val="sr-Cyrl-BA"/>
        </w:rPr>
        <w:t xml:space="preserve">               </w:t>
      </w:r>
      <w:r w:rsidRPr="00DF0332">
        <w:rPr>
          <w:rFonts w:asciiTheme="majorHAnsi" w:hAnsiTheme="majorHAnsi"/>
          <w:lang w:val="sr-Cyrl-BA"/>
        </w:rPr>
        <w:t xml:space="preserve">Мр Милош Митровић </w:t>
      </w:r>
    </w:p>
    <w:p w:rsidR="00DF0332" w:rsidRPr="00DF0332" w:rsidRDefault="00DF0332" w:rsidP="00DF0332">
      <w:pPr>
        <w:tabs>
          <w:tab w:val="left" w:pos="5295"/>
        </w:tabs>
        <w:spacing w:after="200" w:line="276" w:lineRule="auto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.........................................................</w:t>
      </w:r>
    </w:p>
    <w:p w:rsidR="00271103" w:rsidRPr="004B4BF8" w:rsidRDefault="005A77A9" w:rsidP="004B4BF8">
      <w:pPr>
        <w:spacing w:after="200" w:line="276" w:lineRule="auto"/>
        <w:rPr>
          <w:lang w:val="sr-Cyrl-CS"/>
        </w:rPr>
      </w:pPr>
      <w:r w:rsidRPr="00DF0332">
        <w:br w:type="page"/>
      </w:r>
    </w:p>
    <w:sdt>
      <w:sdtPr>
        <w:rPr>
          <w:rFonts w:ascii="Arial" w:eastAsia="Times New Roman" w:hAnsi="Arial" w:cs="Arial"/>
          <w:color w:val="auto"/>
          <w:sz w:val="22"/>
          <w:szCs w:val="22"/>
        </w:rPr>
        <w:id w:val="-145770467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:rsidR="004B4BF8" w:rsidRPr="006D134E" w:rsidRDefault="004B4BF8" w:rsidP="004B4BF8">
          <w:pPr>
            <w:pStyle w:val="TOCHeading"/>
            <w:rPr>
              <w:rFonts w:ascii="Arial" w:hAnsi="Arial" w:cs="Arial"/>
              <w:color w:val="auto"/>
              <w:sz w:val="22"/>
              <w:szCs w:val="22"/>
              <w:lang w:val="sr-Cyrl-CS"/>
            </w:rPr>
          </w:pPr>
          <w:r w:rsidRPr="006D134E">
            <w:rPr>
              <w:rFonts w:ascii="Arial" w:hAnsi="Arial" w:cs="Arial"/>
              <w:color w:val="auto"/>
              <w:sz w:val="22"/>
              <w:szCs w:val="22"/>
              <w:lang w:val="sr-Cyrl-CS"/>
            </w:rPr>
            <w:t>САДРЖАЈ</w:t>
          </w:r>
        </w:p>
        <w:p w:rsidR="004B4BF8" w:rsidRDefault="00AD2100"/>
      </w:sdtContent>
    </w:sdt>
    <w:p w:rsidR="00C97F44" w:rsidRPr="00C97F44" w:rsidRDefault="00C97F44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r w:rsidRPr="00C97F44">
        <w:rPr>
          <w:rFonts w:asciiTheme="minorHAnsi" w:eastAsiaTheme="minorEastAsia" w:hAnsiTheme="minorHAnsi" w:cstheme="minorHAnsi"/>
          <w:b/>
          <w:bCs/>
          <w:i/>
          <w:iCs/>
          <w:caps/>
          <w:color w:val="000000" w:themeColor="text1"/>
          <w:sz w:val="22"/>
          <w:szCs w:val="22"/>
          <w:lang w:val="sr-Cyrl-CS"/>
        </w:rPr>
        <w:fldChar w:fldCharType="begin"/>
      </w:r>
      <w:r w:rsidRPr="00C97F44">
        <w:rPr>
          <w:rFonts w:asciiTheme="minorHAnsi" w:eastAsiaTheme="minorEastAsia" w:hAnsiTheme="minorHAnsi" w:cstheme="minorHAnsi"/>
          <w:b/>
          <w:bCs/>
          <w:i/>
          <w:iCs/>
          <w:caps/>
          <w:color w:val="000000" w:themeColor="text1"/>
          <w:sz w:val="22"/>
          <w:szCs w:val="22"/>
          <w:lang w:val="sr-Cyrl-CS"/>
        </w:rPr>
        <w:instrText xml:space="preserve"> TOC \o "1-3" \h \z \u </w:instrText>
      </w:r>
      <w:r w:rsidRPr="00C97F44">
        <w:rPr>
          <w:rFonts w:asciiTheme="minorHAnsi" w:eastAsiaTheme="minorEastAsia" w:hAnsiTheme="minorHAnsi" w:cstheme="minorHAnsi"/>
          <w:b/>
          <w:bCs/>
          <w:i/>
          <w:iCs/>
          <w:caps/>
          <w:color w:val="000000" w:themeColor="text1"/>
          <w:sz w:val="22"/>
          <w:szCs w:val="22"/>
          <w:lang w:val="sr-Cyrl-CS"/>
        </w:rPr>
        <w:fldChar w:fldCharType="separate"/>
      </w:r>
      <w:hyperlink w:anchor="_Toc531603178" w:history="1">
        <w:r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УВОДНА РАЗМАТРАЊА</w:t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_Toc531603178 \h </w:instrText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3</w:t>
        </w:r>
        <w:r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79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Ризици пословања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  <w:lang w:val="sr-Latn-BA"/>
          </w:rPr>
          <w:t xml:space="preserve"> 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у контексту остварења Ребаланса пословања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_Toc531603179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4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0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 xml:space="preserve">М Ј Е Р Е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  <w:lang w:val="sr-Cyrl-CS"/>
          </w:rPr>
          <w:t xml:space="preserve">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ЗЕДП „ЕЛЕКТРО-БИЈЕЉИНА“ А.Д. БИЈЕЉИНА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  <w:lang w:val="sr-Cyrl-CS"/>
          </w:rPr>
          <w:t xml:space="preserve">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ЗА ОСТВАРЕЊЕ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  <w:lang w:val="sr-Cyrl-CS"/>
          </w:rPr>
          <w:t xml:space="preserve">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РЕБАЛАНСА ПЛАНА ПОСЛОВАЊА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  <w:lang w:val="sr-Cyrl-CS"/>
          </w:rPr>
          <w:t xml:space="preserve">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ЗА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_Toc531603180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7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1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ОСНОВНИ РЕБАЛАНСИРАНИ ПОДАЦИ ЗА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_Toc531603181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9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2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РЕБАЛАНС ЕЛЕКТРОЕНЕРГЕТСКОГ БИЛАНСА ЗЕДП ''ЕЛЕКТРО-БИЈЕЉИНА'' а.д. за 2018. год.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_Toc531603182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12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3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 xml:space="preserve">Принципи израде 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  <w:lang w:val="sr-Cyrl-BA"/>
          </w:rPr>
          <w:t>електроенергетско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г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  <w:lang w:val="sr-Cyrl-BA"/>
          </w:rPr>
          <w:t xml:space="preserve"> </w:t>
        </w:r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биланса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_Toc531603183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12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4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Нето потрошња крајњих купаца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_Toc531603184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13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5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Дистрибутивни губици електричне енергије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_Toc531603185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15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6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Бруто дистрибутивна потрошња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_Toc531603186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16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7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Производња енергије у МХЕ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_Toc531603187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16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8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Услови и мјере за реализацију електроенергетског биланса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_Toc531603188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16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89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РЕБАЛАНС БИЛАНСА УСПЈЕХА ПРЕДУЗЕЋА за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_Toc531603189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19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0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Планирани резултат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_Toc531603190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19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1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Ребаланс прихода за 2018. годину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_Toc531603191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20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2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Ребаланс расхода за 2018. годину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_Toc531603192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24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3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РЕБАЛАНС БИЛАНСА СТАЊА ПРЕДУЗЕЋА за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_Toc531603193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27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4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Ребаланс биланса стања актива за 2018. годину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_Toc531603194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27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ind w:left="24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5" w:history="1">
        <w:r w:rsidR="00C97F44" w:rsidRPr="00C97F44">
          <w:rPr>
            <w:rFonts w:asciiTheme="minorHAnsi" w:hAnsiTheme="minorHAnsi" w:cstheme="minorHAnsi"/>
            <w:smallCaps/>
            <w:noProof/>
            <w:color w:val="000000" w:themeColor="text1"/>
            <w:sz w:val="20"/>
            <w:szCs w:val="20"/>
            <w:u w:val="single"/>
          </w:rPr>
          <w:t>Ребаланс биланса стања предузећа пасива за 2018. годину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instrText xml:space="preserve"> PAGEREF _Toc531603195 \h </w:instrTex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t>31</w:t>
        </w:r>
        <w:r w:rsidR="00C97F44" w:rsidRPr="00C97F44">
          <w:rPr>
            <w:rFonts w:asciiTheme="minorHAnsi" w:hAnsiTheme="minorHAnsi" w:cstheme="minorHAnsi"/>
            <w:small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6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 xml:space="preserve">ПЛАН РАДНЕ СНАГЕ 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  <w:lang w:val="sr-Latn-CS"/>
          </w:rPr>
          <w:t>за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 xml:space="preserve">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_Toc531603196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33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AD2100" w:rsidP="00C97F44">
      <w:pPr>
        <w:tabs>
          <w:tab w:val="right" w:leader="dot" w:pos="9350"/>
        </w:tabs>
        <w:spacing w:before="120" w:after="120"/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</w:pPr>
      <w:hyperlink w:anchor="_Toc531603197" w:history="1">
        <w:r w:rsidR="00C97F44" w:rsidRPr="00C97F44">
          <w:rPr>
            <w:rFonts w:asciiTheme="minorHAnsi" w:hAnsiTheme="minorHAnsi" w:cstheme="minorHAnsi"/>
            <w:b/>
            <w:bCs/>
            <w:caps/>
            <w:noProof/>
            <w:color w:val="000000" w:themeColor="text1"/>
            <w:sz w:val="20"/>
            <w:szCs w:val="20"/>
            <w:u w:val="single"/>
          </w:rPr>
          <w:t>ПЛАН РАСПОДЈЕЛЕ ДОБИТИ за 2018. годину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ab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begin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instrText xml:space="preserve"> PAGEREF _Toc531603197 \h </w:instrTex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separate"/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t>34</w:t>
        </w:r>
        <w:r w:rsidR="00C97F44" w:rsidRPr="00C97F44">
          <w:rPr>
            <w:rFonts w:asciiTheme="minorHAnsi" w:hAnsiTheme="minorHAnsi" w:cstheme="minorHAnsi"/>
            <w:b/>
            <w:bCs/>
            <w:caps/>
            <w:noProof/>
            <w:webHidden/>
            <w:color w:val="000000" w:themeColor="text1"/>
            <w:sz w:val="20"/>
            <w:szCs w:val="20"/>
          </w:rPr>
          <w:fldChar w:fldCharType="end"/>
        </w:r>
      </w:hyperlink>
    </w:p>
    <w:p w:rsidR="00C97F44" w:rsidRPr="00C97F44" w:rsidRDefault="00C97F44" w:rsidP="00C97F44">
      <w:pPr>
        <w:ind w:left="446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sr-Cyrl-CS"/>
        </w:rPr>
      </w:pPr>
      <w:r w:rsidRPr="00C97F44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sr-Cyrl-CS"/>
        </w:rPr>
        <w:fldChar w:fldCharType="end"/>
      </w:r>
    </w:p>
    <w:p w:rsidR="00271103" w:rsidRPr="00C97F44" w:rsidRDefault="00271103" w:rsidP="00271103">
      <w:pPr>
        <w:pStyle w:val="TOC3"/>
        <w:ind w:left="446"/>
        <w:rPr>
          <w:color w:val="000000" w:themeColor="text1"/>
          <w:lang w:val="sr-Cyrl-CS"/>
        </w:rPr>
      </w:pPr>
    </w:p>
    <w:p w:rsidR="00271103" w:rsidRDefault="00271103">
      <w:pPr>
        <w:spacing w:after="200" w:line="276" w:lineRule="auto"/>
        <w:rPr>
          <w:rFonts w:ascii="YU L Friz Quadrata" w:hAnsi="YU L Friz Quadrata"/>
          <w:lang w:val="sr-Cyrl-CS"/>
        </w:rPr>
      </w:pPr>
      <w:r>
        <w:rPr>
          <w:rFonts w:ascii="YU L Friz Quadrata" w:hAnsi="YU L Friz Quadrata"/>
          <w:lang w:val="sr-Cyrl-CS"/>
        </w:rPr>
        <w:br w:type="page"/>
      </w:r>
    </w:p>
    <w:p w:rsidR="005A77A9" w:rsidRPr="005A77A9" w:rsidRDefault="005A77A9" w:rsidP="005A77A9">
      <w:pPr>
        <w:rPr>
          <w:rFonts w:ascii="YU L Friz Quadrata" w:hAnsi="YU L Friz Quadrata"/>
          <w:lang w:val="sr-Cyrl-CS"/>
        </w:rPr>
      </w:pPr>
    </w:p>
    <w:p w:rsidR="005A77A9" w:rsidRPr="002F1DFB" w:rsidRDefault="005A77A9" w:rsidP="002F1DFB">
      <w:pPr>
        <w:pStyle w:val="Heading1"/>
        <w:jc w:val="left"/>
        <w:rPr>
          <w:rFonts w:ascii="Arial" w:hAnsi="Arial" w:cs="Arial"/>
          <w:sz w:val="24"/>
        </w:rPr>
      </w:pPr>
      <w:bookmarkStart w:id="0" w:name="_Toc481062244"/>
      <w:bookmarkStart w:id="1" w:name="_Toc500762406"/>
      <w:r w:rsidRPr="002F1DFB">
        <w:rPr>
          <w:rFonts w:ascii="Arial" w:hAnsi="Arial" w:cs="Arial"/>
          <w:sz w:val="24"/>
        </w:rPr>
        <w:t>УВОДНА РАЗМАТРАЊА</w:t>
      </w:r>
      <w:bookmarkEnd w:id="0"/>
      <w:bookmarkEnd w:id="1"/>
    </w:p>
    <w:p w:rsidR="005A77A9" w:rsidRPr="005A77A9" w:rsidRDefault="005A77A9" w:rsidP="005A77A9">
      <w:pPr>
        <w:pBdr>
          <w:bottom w:val="single" w:sz="12" w:space="1" w:color="auto"/>
        </w:pBdr>
        <w:rPr>
          <w:b/>
          <w:sz w:val="28"/>
          <w:szCs w:val="28"/>
          <w:lang w:val="sr-Latn-CS"/>
        </w:rPr>
      </w:pPr>
    </w:p>
    <w:p w:rsidR="005A77A9" w:rsidRPr="005A77A9" w:rsidRDefault="005A77A9" w:rsidP="005A77A9">
      <w:pPr>
        <w:rPr>
          <w:lang w:val="sr-Latn-CS"/>
        </w:rPr>
      </w:pPr>
    </w:p>
    <w:p w:rsidR="005A77A9" w:rsidRPr="00A10F94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A10F94">
        <w:rPr>
          <w:rFonts w:ascii="Arial" w:hAnsi="Arial" w:cs="Arial"/>
          <w:sz w:val="22"/>
          <w:lang w:val="sr-Cyrl-CS"/>
        </w:rPr>
        <w:t xml:space="preserve">Активности на изради </w:t>
      </w:r>
      <w:r w:rsidR="003B57C7" w:rsidRPr="00A10F94">
        <w:rPr>
          <w:rFonts w:ascii="Arial" w:hAnsi="Arial" w:cs="Arial"/>
          <w:sz w:val="22"/>
          <w:lang w:val="sr-Cyrl-CS"/>
        </w:rPr>
        <w:t xml:space="preserve">Ребаланса плана </w:t>
      </w:r>
      <w:r w:rsidR="00EB72AE" w:rsidRPr="00A10F94">
        <w:rPr>
          <w:rFonts w:ascii="Arial" w:hAnsi="Arial" w:cs="Arial"/>
          <w:sz w:val="22"/>
        </w:rPr>
        <w:t>пословања за 201</w:t>
      </w:r>
      <w:r w:rsidR="00C161F7">
        <w:rPr>
          <w:rFonts w:ascii="Arial" w:hAnsi="Arial" w:cs="Arial"/>
          <w:sz w:val="22"/>
        </w:rPr>
        <w:t>8</w:t>
      </w:r>
      <w:r w:rsidRPr="00A10F94">
        <w:rPr>
          <w:rFonts w:ascii="Arial" w:hAnsi="Arial" w:cs="Arial"/>
          <w:sz w:val="22"/>
        </w:rPr>
        <w:t xml:space="preserve">. годину </w:t>
      </w:r>
      <w:r w:rsidRPr="00A10F94">
        <w:rPr>
          <w:rFonts w:ascii="Arial" w:hAnsi="Arial" w:cs="Arial"/>
          <w:sz w:val="22"/>
          <w:lang w:val="sr-Cyrl-RS"/>
        </w:rPr>
        <w:t xml:space="preserve">отпочеле су у </w:t>
      </w:r>
      <w:r w:rsidR="003B57C7" w:rsidRPr="00A10F94">
        <w:rPr>
          <w:rFonts w:ascii="Arial" w:hAnsi="Arial" w:cs="Arial"/>
          <w:sz w:val="22"/>
          <w:lang w:val="sr-Cyrl-RS"/>
        </w:rPr>
        <w:t>септембру</w:t>
      </w:r>
      <w:r w:rsidRPr="00A10F94">
        <w:rPr>
          <w:rFonts w:ascii="Arial" w:hAnsi="Arial" w:cs="Arial"/>
          <w:sz w:val="22"/>
          <w:lang w:val="sr-Cyrl-RS"/>
        </w:rPr>
        <w:t xml:space="preserve"> 201</w:t>
      </w:r>
      <w:r w:rsidR="00C161F7">
        <w:rPr>
          <w:rFonts w:ascii="Arial" w:hAnsi="Arial" w:cs="Arial"/>
          <w:sz w:val="22"/>
        </w:rPr>
        <w:t>8</w:t>
      </w:r>
      <w:r w:rsidRPr="00A10F94">
        <w:rPr>
          <w:rFonts w:ascii="Arial" w:hAnsi="Arial" w:cs="Arial"/>
          <w:sz w:val="22"/>
          <w:lang w:val="sr-Cyrl-RS"/>
        </w:rPr>
        <w:t>. године, када је МХ ''Електропривреда Републике Српске'' МП а.д. Требиње достави</w:t>
      </w:r>
      <w:r w:rsidRPr="00A10F94">
        <w:rPr>
          <w:rFonts w:ascii="Arial" w:hAnsi="Arial" w:cs="Arial"/>
          <w:sz w:val="22"/>
          <w:lang w:val="sr-Latn-RS"/>
        </w:rPr>
        <w:t>o</w:t>
      </w:r>
      <w:r w:rsidRPr="00A10F94">
        <w:rPr>
          <w:rFonts w:ascii="Arial" w:hAnsi="Arial" w:cs="Arial"/>
          <w:sz w:val="22"/>
          <w:lang w:val="sr-Cyrl-RS"/>
        </w:rPr>
        <w:t xml:space="preserve"> Смјернице за израду </w:t>
      </w:r>
      <w:r w:rsidR="003B57C7" w:rsidRPr="00A10F94">
        <w:rPr>
          <w:rFonts w:ascii="Arial" w:hAnsi="Arial" w:cs="Arial"/>
          <w:sz w:val="22"/>
          <w:lang w:val="sr-Cyrl-RS"/>
        </w:rPr>
        <w:t>Ребаланса плана</w:t>
      </w:r>
      <w:r w:rsidRPr="00A10F94">
        <w:rPr>
          <w:rFonts w:ascii="Arial" w:hAnsi="Arial" w:cs="Arial"/>
          <w:sz w:val="22"/>
          <w:lang w:val="sr-Cyrl-RS"/>
        </w:rPr>
        <w:t xml:space="preserve"> пословања за 201</w:t>
      </w:r>
      <w:r w:rsidR="00C161F7">
        <w:rPr>
          <w:rFonts w:ascii="Arial" w:hAnsi="Arial" w:cs="Arial"/>
          <w:sz w:val="22"/>
        </w:rPr>
        <w:t>8</w:t>
      </w:r>
      <w:r w:rsidR="00C3630F" w:rsidRPr="00A10F94">
        <w:rPr>
          <w:rFonts w:ascii="Arial" w:hAnsi="Arial" w:cs="Arial"/>
          <w:sz w:val="22"/>
          <w:lang w:val="sr-Cyrl-RS"/>
        </w:rPr>
        <w:t xml:space="preserve">. </w:t>
      </w:r>
      <w:r w:rsidR="00C3630F" w:rsidRPr="00A10F94">
        <w:rPr>
          <w:rFonts w:ascii="Arial" w:hAnsi="Arial" w:cs="Arial"/>
          <w:sz w:val="22"/>
          <w:lang w:val="sr-Cyrl-CS"/>
        </w:rPr>
        <w:t>г</w:t>
      </w:r>
      <w:r w:rsidR="003B57C7" w:rsidRPr="00A10F94">
        <w:rPr>
          <w:rFonts w:ascii="Arial" w:hAnsi="Arial" w:cs="Arial"/>
          <w:sz w:val="22"/>
          <w:lang w:val="sr-Cyrl-RS"/>
        </w:rPr>
        <w:t>одину.</w:t>
      </w:r>
    </w:p>
    <w:p w:rsidR="00021455" w:rsidRPr="00201C1C" w:rsidRDefault="00021455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201C1C" w:rsidRDefault="006C548E" w:rsidP="005A77A9">
      <w:p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Тe</w:t>
      </w:r>
      <w:r w:rsidR="005A77A9" w:rsidRPr="00201C1C">
        <w:rPr>
          <w:rFonts w:ascii="Arial" w:hAnsi="Arial" w:cs="Arial"/>
          <w:sz w:val="22"/>
          <w:lang w:val="sr-Cyrl-RS"/>
        </w:rPr>
        <w:t>хнички дио Смјерница садржи:</w:t>
      </w:r>
    </w:p>
    <w:p w:rsidR="005A77A9" w:rsidRPr="00201C1C" w:rsidRDefault="005A77A9" w:rsidP="005A77A9">
      <w:pPr>
        <w:jc w:val="both"/>
        <w:rPr>
          <w:rFonts w:ascii="Arial" w:hAnsi="Arial" w:cs="Arial"/>
          <w:sz w:val="22"/>
          <w:lang w:val="sr-Cyrl-RS"/>
        </w:rPr>
      </w:pP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Обим преузете енергије са преносне мреже,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Планирани обим производње електричне енергије мини електран</w:t>
      </w:r>
      <w:r w:rsidR="006C548E" w:rsidRPr="00201C1C">
        <w:rPr>
          <w:rFonts w:ascii="Arial" w:hAnsi="Arial" w:cs="Arial"/>
          <w:sz w:val="22"/>
          <w:lang w:val="sr-Cyrl-RS"/>
        </w:rPr>
        <w:t>а</w:t>
      </w:r>
      <w:r w:rsidRPr="00201C1C">
        <w:rPr>
          <w:rFonts w:ascii="Arial" w:hAnsi="Arial" w:cs="Arial"/>
          <w:sz w:val="22"/>
          <w:lang w:val="sr-Cyrl-RS"/>
        </w:rPr>
        <w:t>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Преузимање из других система по уговорима,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Планиран</w:t>
      </w:r>
      <w:r w:rsidR="006C548E" w:rsidRPr="00201C1C">
        <w:rPr>
          <w:rFonts w:ascii="Arial" w:hAnsi="Arial" w:cs="Arial"/>
          <w:sz w:val="22"/>
          <w:lang w:val="sr-Cyrl-RS"/>
        </w:rPr>
        <w:t>е</w:t>
      </w:r>
      <w:r w:rsidRPr="00201C1C">
        <w:rPr>
          <w:rFonts w:ascii="Arial" w:hAnsi="Arial" w:cs="Arial"/>
          <w:sz w:val="22"/>
          <w:lang w:val="sr-Cyrl-RS"/>
        </w:rPr>
        <w:t xml:space="preserve"> дистрибутивн</w:t>
      </w:r>
      <w:r w:rsidR="006C548E" w:rsidRPr="00201C1C">
        <w:rPr>
          <w:rFonts w:ascii="Arial" w:hAnsi="Arial" w:cs="Arial"/>
          <w:sz w:val="22"/>
          <w:lang w:val="sr-Cyrl-RS"/>
        </w:rPr>
        <w:t>е губитке</w:t>
      </w:r>
      <w:r w:rsidRPr="00201C1C">
        <w:rPr>
          <w:rFonts w:ascii="Arial" w:hAnsi="Arial" w:cs="Arial"/>
          <w:sz w:val="22"/>
          <w:lang w:val="sr-Cyrl-RS"/>
        </w:rPr>
        <w:t>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Планиран</w:t>
      </w:r>
      <w:r w:rsidR="006C548E" w:rsidRPr="00201C1C">
        <w:rPr>
          <w:rFonts w:ascii="Arial" w:hAnsi="Arial" w:cs="Arial"/>
          <w:sz w:val="22"/>
          <w:lang w:val="sr-Cyrl-RS"/>
        </w:rPr>
        <w:t>у</w:t>
      </w:r>
      <w:r w:rsidRPr="00201C1C">
        <w:rPr>
          <w:rFonts w:ascii="Arial" w:hAnsi="Arial" w:cs="Arial"/>
          <w:sz w:val="22"/>
          <w:lang w:val="sr-Cyrl-RS"/>
        </w:rPr>
        <w:t xml:space="preserve"> нето дистрибутивн</w:t>
      </w:r>
      <w:r w:rsidR="006C548E" w:rsidRPr="00201C1C">
        <w:rPr>
          <w:rFonts w:ascii="Arial" w:hAnsi="Arial" w:cs="Arial"/>
          <w:sz w:val="22"/>
          <w:lang w:val="sr-Cyrl-RS"/>
        </w:rPr>
        <w:t>у потрошњу</w:t>
      </w:r>
      <w:r w:rsidRPr="00201C1C">
        <w:rPr>
          <w:rFonts w:ascii="Arial" w:hAnsi="Arial" w:cs="Arial"/>
          <w:sz w:val="22"/>
          <w:lang w:val="sr-Cyrl-RS"/>
        </w:rPr>
        <w:t>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Планиран</w:t>
      </w:r>
      <w:r w:rsidR="006C548E" w:rsidRPr="00201C1C">
        <w:rPr>
          <w:rFonts w:ascii="Arial" w:hAnsi="Arial" w:cs="Arial"/>
          <w:sz w:val="22"/>
          <w:lang w:val="sr-Cyrl-RS"/>
        </w:rPr>
        <w:t>у</w:t>
      </w:r>
      <w:r w:rsidRPr="00201C1C">
        <w:rPr>
          <w:rFonts w:ascii="Arial" w:hAnsi="Arial" w:cs="Arial"/>
          <w:sz w:val="22"/>
          <w:lang w:val="sr-Cyrl-RS"/>
        </w:rPr>
        <w:t xml:space="preserve"> властит</w:t>
      </w:r>
      <w:r w:rsidR="006C548E" w:rsidRPr="00201C1C">
        <w:rPr>
          <w:rFonts w:ascii="Arial" w:hAnsi="Arial" w:cs="Arial"/>
          <w:sz w:val="22"/>
          <w:lang w:val="sr-Cyrl-RS"/>
        </w:rPr>
        <w:t>у</w:t>
      </w:r>
      <w:r w:rsidRPr="00201C1C">
        <w:rPr>
          <w:rFonts w:ascii="Arial" w:hAnsi="Arial" w:cs="Arial"/>
          <w:sz w:val="22"/>
          <w:lang w:val="sr-Cyrl-RS"/>
        </w:rPr>
        <w:t xml:space="preserve"> потрошњ</w:t>
      </w:r>
      <w:r w:rsidR="006C548E" w:rsidRPr="00201C1C">
        <w:rPr>
          <w:rFonts w:ascii="Arial" w:hAnsi="Arial" w:cs="Arial"/>
          <w:sz w:val="22"/>
          <w:lang w:val="sr-Cyrl-RS"/>
        </w:rPr>
        <w:t>у</w:t>
      </w:r>
      <w:r w:rsidRPr="00201C1C">
        <w:rPr>
          <w:rFonts w:ascii="Arial" w:hAnsi="Arial" w:cs="Arial"/>
          <w:sz w:val="22"/>
          <w:lang w:val="sr-Cyrl-RS"/>
        </w:rPr>
        <w:t>,</w:t>
      </w:r>
    </w:p>
    <w:p w:rsidR="005A77A9" w:rsidRPr="00201C1C" w:rsidRDefault="005A77A9" w:rsidP="0046227E">
      <w:pPr>
        <w:numPr>
          <w:ilvl w:val="0"/>
          <w:numId w:val="3"/>
        </w:numPr>
        <w:jc w:val="both"/>
        <w:rPr>
          <w:rFonts w:ascii="Arial" w:hAnsi="Arial" w:cs="Arial"/>
          <w:sz w:val="22"/>
          <w:lang w:val="sr-Cyrl-RS"/>
        </w:rPr>
      </w:pPr>
      <w:r w:rsidRPr="00201C1C">
        <w:rPr>
          <w:rFonts w:ascii="Arial" w:hAnsi="Arial" w:cs="Arial"/>
          <w:sz w:val="22"/>
          <w:lang w:val="sr-Cyrl-RS"/>
        </w:rPr>
        <w:t>Планиране количине горива.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Cyrl-RS"/>
        </w:rPr>
      </w:pPr>
    </w:p>
    <w:p w:rsidR="005A77A9" w:rsidRPr="00896F2C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896F2C">
        <w:rPr>
          <w:rFonts w:ascii="Arial" w:hAnsi="Arial" w:cs="Arial"/>
          <w:sz w:val="22"/>
          <w:lang w:val="sr-Cyrl-RS"/>
        </w:rPr>
        <w:t xml:space="preserve">Економски дио Смјерница сачињен је на основу тарифних ставова утврђених од стране Регулаторне комисије за енергетику Републике Српске (РЕРС), тарифе Државне електроенергетске регулаторне комисије (ДЕРК) и НОС – Независни оператор система у БиХ, тржишних цијена </w:t>
      </w:r>
      <w:r w:rsidR="003A1C2A" w:rsidRPr="00896F2C">
        <w:rPr>
          <w:rFonts w:ascii="Arial" w:hAnsi="Arial" w:cs="Arial"/>
          <w:sz w:val="22"/>
          <w:lang w:val="sr-Cyrl-RS"/>
        </w:rPr>
        <w:t>енергената и</w:t>
      </w:r>
      <w:r w:rsidRPr="00896F2C">
        <w:rPr>
          <w:rFonts w:ascii="Arial" w:hAnsi="Arial" w:cs="Arial"/>
          <w:sz w:val="22"/>
          <w:lang w:val="sr-Cyrl-RS"/>
        </w:rPr>
        <w:t xml:space="preserve"> достигнутог нивоа цијене рада</w:t>
      </w:r>
      <w:r w:rsidR="003A1C2A" w:rsidRPr="00896F2C">
        <w:rPr>
          <w:rFonts w:ascii="Arial" w:hAnsi="Arial" w:cs="Arial"/>
          <w:sz w:val="22"/>
          <w:lang w:val="sr-Cyrl-RS"/>
        </w:rPr>
        <w:t xml:space="preserve">. Смјернице прати Термин план, којим су прецизиране активности на изради </w:t>
      </w:r>
      <w:r w:rsidR="00896F2C" w:rsidRPr="00896F2C">
        <w:rPr>
          <w:rFonts w:ascii="Arial" w:hAnsi="Arial" w:cs="Arial"/>
          <w:sz w:val="22"/>
          <w:lang w:val="sr-Cyrl-RS"/>
        </w:rPr>
        <w:t>Ребаланса плана пословања</w:t>
      </w:r>
      <w:r w:rsidR="003A1C2A" w:rsidRPr="00896F2C">
        <w:rPr>
          <w:rFonts w:ascii="Arial" w:hAnsi="Arial" w:cs="Arial"/>
          <w:sz w:val="22"/>
          <w:lang w:val="sr-Cyrl-RS"/>
        </w:rPr>
        <w:t>, утврђени носиоци активности и рокови за провођење предвиђен</w:t>
      </w:r>
      <w:r w:rsidR="00896F2C" w:rsidRPr="00896F2C">
        <w:rPr>
          <w:rFonts w:ascii="Arial" w:hAnsi="Arial" w:cs="Arial"/>
          <w:sz w:val="22"/>
          <w:lang w:val="sr-Cyrl-RS"/>
        </w:rPr>
        <w:t>их активности на изради ребалансираног</w:t>
      </w:r>
      <w:r w:rsidR="003A1C2A" w:rsidRPr="00896F2C">
        <w:rPr>
          <w:rFonts w:ascii="Arial" w:hAnsi="Arial" w:cs="Arial"/>
          <w:sz w:val="22"/>
          <w:lang w:val="sr-Cyrl-RS"/>
        </w:rPr>
        <w:t xml:space="preserve"> документа. </w:t>
      </w:r>
    </w:p>
    <w:p w:rsidR="003A1C2A" w:rsidRPr="00896F2C" w:rsidRDefault="003A1C2A" w:rsidP="005A77A9">
      <w:pPr>
        <w:jc w:val="both"/>
        <w:rPr>
          <w:rFonts w:ascii="Arial" w:hAnsi="Arial" w:cs="Arial"/>
          <w:sz w:val="22"/>
          <w:lang w:val="sr-Cyrl-RS"/>
        </w:rPr>
      </w:pPr>
    </w:p>
    <w:p w:rsidR="003A1C2A" w:rsidRPr="001C2468" w:rsidRDefault="003A1C2A" w:rsidP="005A77A9">
      <w:pPr>
        <w:jc w:val="both"/>
        <w:rPr>
          <w:rFonts w:ascii="Arial" w:hAnsi="Arial" w:cs="Arial"/>
          <w:sz w:val="22"/>
          <w:lang w:val="sr-Cyrl-RS"/>
        </w:rPr>
      </w:pPr>
      <w:r w:rsidRPr="001C2468">
        <w:rPr>
          <w:rFonts w:ascii="Arial" w:hAnsi="Arial" w:cs="Arial"/>
          <w:sz w:val="22"/>
          <w:lang w:val="sr-Cyrl-RS"/>
        </w:rPr>
        <w:t xml:space="preserve">Инвестициони дио смјерница садржи основе за планирање реалних инвестиција и њихових појединачних извора. 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Cyrl-RS"/>
        </w:rPr>
      </w:pPr>
    </w:p>
    <w:p w:rsidR="005A77A9" w:rsidRPr="00021455" w:rsidRDefault="005A77A9" w:rsidP="005A77A9">
      <w:pPr>
        <w:jc w:val="both"/>
        <w:rPr>
          <w:rFonts w:ascii="Arial" w:hAnsi="Arial" w:cs="Arial"/>
          <w:sz w:val="22"/>
          <w:lang w:val="sr-Cyrl-BA"/>
        </w:rPr>
      </w:pPr>
      <w:r w:rsidRPr="00021455">
        <w:rPr>
          <w:rFonts w:ascii="Arial" w:hAnsi="Arial" w:cs="Arial"/>
          <w:sz w:val="22"/>
        </w:rPr>
        <w:t xml:space="preserve">Дирекција за комерцијалне послове МХ ЕРС-а је у сврху израде </w:t>
      </w:r>
      <w:r w:rsidR="00021455">
        <w:rPr>
          <w:rFonts w:ascii="Arial" w:hAnsi="Arial" w:cs="Arial"/>
          <w:sz w:val="22"/>
          <w:lang w:val="sr-Cyrl-RS"/>
        </w:rPr>
        <w:t>Ребаланса п</w:t>
      </w:r>
      <w:r w:rsidRPr="00021455">
        <w:rPr>
          <w:rFonts w:ascii="Arial" w:hAnsi="Arial" w:cs="Arial"/>
          <w:sz w:val="22"/>
        </w:rPr>
        <w:t>лана пословања за 201</w:t>
      </w:r>
      <w:r w:rsidR="00C161F7">
        <w:rPr>
          <w:rFonts w:ascii="Arial" w:hAnsi="Arial" w:cs="Arial"/>
          <w:sz w:val="22"/>
        </w:rPr>
        <w:t>8</w:t>
      </w:r>
      <w:r w:rsidRPr="00021455">
        <w:rPr>
          <w:rFonts w:ascii="Arial" w:hAnsi="Arial" w:cs="Arial"/>
          <w:sz w:val="22"/>
        </w:rPr>
        <w:t xml:space="preserve">. годину обрачунала износе прихода од произведене енергије, износе прихода електродистрибутивним предузећима за пренешену енергију на дистрибутивном нивоу, износе расхода за преузету електричну енергију, као и припадајуће расходе општих и заједничких послова за МХ ЕРС које сносе сва зависна предузећа. </w:t>
      </w:r>
      <w:r w:rsidR="003A1C2A" w:rsidRPr="00021455">
        <w:rPr>
          <w:rFonts w:ascii="Arial" w:hAnsi="Arial" w:cs="Arial"/>
          <w:sz w:val="22"/>
          <w:lang w:val="sr-Cyrl-BA"/>
        </w:rPr>
        <w:t xml:space="preserve">Такође, Дирекција за комерцијалне послове МХ ЕРС-а за потребе израда </w:t>
      </w:r>
      <w:r w:rsidR="00021455" w:rsidRPr="00021455">
        <w:rPr>
          <w:rFonts w:ascii="Arial" w:hAnsi="Arial" w:cs="Arial"/>
          <w:sz w:val="22"/>
          <w:lang w:val="sr-Cyrl-BA"/>
        </w:rPr>
        <w:t>Ребаланса п</w:t>
      </w:r>
      <w:r w:rsidR="00C161F7">
        <w:rPr>
          <w:rFonts w:ascii="Arial" w:hAnsi="Arial" w:cs="Arial"/>
          <w:sz w:val="22"/>
          <w:lang w:val="sr-Cyrl-BA"/>
        </w:rPr>
        <w:t>лана пословања за 201</w:t>
      </w:r>
      <w:r w:rsidR="00C161F7">
        <w:rPr>
          <w:rFonts w:ascii="Arial" w:hAnsi="Arial" w:cs="Arial"/>
          <w:sz w:val="22"/>
        </w:rPr>
        <w:t>8</w:t>
      </w:r>
      <w:r w:rsidR="003A1C2A" w:rsidRPr="00021455">
        <w:rPr>
          <w:rFonts w:ascii="Arial" w:hAnsi="Arial" w:cs="Arial"/>
          <w:sz w:val="22"/>
          <w:lang w:val="sr-Cyrl-BA"/>
        </w:rPr>
        <w:t xml:space="preserve">. годину, обрачунала је и износ накнаде за обновљиве изворе и ефикасну когенерацију коју ће нам </w:t>
      </w:r>
      <w:r w:rsidR="007A7E06" w:rsidRPr="00021455">
        <w:rPr>
          <w:rFonts w:ascii="Arial" w:hAnsi="Arial" w:cs="Arial"/>
          <w:sz w:val="22"/>
          <w:lang w:val="sr-Cyrl-BA"/>
        </w:rPr>
        <w:t xml:space="preserve">сваког мјесеца </w:t>
      </w:r>
      <w:r w:rsidR="003A1C2A" w:rsidRPr="00021455">
        <w:rPr>
          <w:rFonts w:ascii="Arial" w:hAnsi="Arial" w:cs="Arial"/>
          <w:sz w:val="22"/>
          <w:lang w:val="sr-Cyrl-BA"/>
        </w:rPr>
        <w:t>фактурисати Оператор система подстицања.</w:t>
      </w:r>
    </w:p>
    <w:p w:rsidR="003A1C2A" w:rsidRPr="003B57C7" w:rsidRDefault="003A1C2A" w:rsidP="005A77A9">
      <w:pPr>
        <w:jc w:val="both"/>
        <w:rPr>
          <w:rFonts w:ascii="Arial" w:hAnsi="Arial" w:cs="Arial"/>
          <w:sz w:val="22"/>
          <w:highlight w:val="yellow"/>
          <w:lang w:val="sr-Latn-RS"/>
        </w:rPr>
      </w:pPr>
    </w:p>
    <w:p w:rsidR="005A77A9" w:rsidRPr="001C2468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1C2468">
        <w:rPr>
          <w:rFonts w:ascii="Arial" w:hAnsi="Arial" w:cs="Arial"/>
          <w:sz w:val="22"/>
        </w:rPr>
        <w:t xml:space="preserve">Остале ставке прихода и расхода планиране су на основу норматива предузећа, трендова и очекиваних промјена. 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Cyrl-BA"/>
        </w:rPr>
      </w:pPr>
    </w:p>
    <w:p w:rsidR="005A77A9" w:rsidRPr="001C2468" w:rsidRDefault="001C2468" w:rsidP="005A77A9">
      <w:pPr>
        <w:jc w:val="both"/>
        <w:rPr>
          <w:rFonts w:ascii="Arial" w:hAnsi="Arial" w:cs="Arial"/>
          <w:sz w:val="22"/>
          <w:lang w:val="sr-Cyrl-CS"/>
        </w:rPr>
      </w:pPr>
      <w:r w:rsidRPr="001C2468">
        <w:rPr>
          <w:rFonts w:ascii="Arial" w:hAnsi="Arial" w:cs="Arial"/>
          <w:sz w:val="22"/>
          <w:lang w:val="sr-Cyrl-CS"/>
        </w:rPr>
        <w:t>Ребаланс п</w:t>
      </w:r>
      <w:r w:rsidR="005A77A9" w:rsidRPr="001C2468">
        <w:rPr>
          <w:rFonts w:ascii="Arial" w:hAnsi="Arial" w:cs="Arial"/>
          <w:sz w:val="22"/>
          <w:lang w:val="sr-Cyrl-CS"/>
        </w:rPr>
        <w:t>лан</w:t>
      </w:r>
      <w:r w:rsidRPr="001C2468">
        <w:rPr>
          <w:rFonts w:ascii="Arial" w:hAnsi="Arial" w:cs="Arial"/>
          <w:sz w:val="22"/>
          <w:lang w:val="sr-Cyrl-CS"/>
        </w:rPr>
        <w:t>а</w:t>
      </w:r>
      <w:r w:rsidR="005A77A9" w:rsidRPr="001C2468">
        <w:rPr>
          <w:rFonts w:ascii="Arial" w:hAnsi="Arial" w:cs="Arial"/>
          <w:sz w:val="22"/>
          <w:lang w:val="sr-Cyrl-CS"/>
        </w:rPr>
        <w:t xml:space="preserve"> пословања за 20</w:t>
      </w:r>
      <w:r w:rsidR="005A77A9" w:rsidRPr="001C2468">
        <w:rPr>
          <w:rFonts w:ascii="Arial" w:hAnsi="Arial" w:cs="Arial"/>
          <w:sz w:val="22"/>
        </w:rPr>
        <w:t>1</w:t>
      </w:r>
      <w:r w:rsidR="00C161F7">
        <w:rPr>
          <w:rFonts w:ascii="Arial" w:hAnsi="Arial" w:cs="Arial"/>
          <w:sz w:val="22"/>
        </w:rPr>
        <w:t>8</w:t>
      </w:r>
      <w:r w:rsidR="005A77A9" w:rsidRPr="001C2468">
        <w:rPr>
          <w:rFonts w:ascii="Arial" w:hAnsi="Arial" w:cs="Arial"/>
          <w:sz w:val="22"/>
          <w:lang w:val="sr-Cyrl-CS"/>
        </w:rPr>
        <w:t xml:space="preserve">. годину садржи све елементе прописане Законом о јавним предузећима и проводи се по законски прописаној процедури. Израда финансијског дијела </w:t>
      </w:r>
      <w:r w:rsidRPr="001C2468">
        <w:rPr>
          <w:rFonts w:ascii="Arial" w:hAnsi="Arial" w:cs="Arial"/>
          <w:sz w:val="22"/>
          <w:lang w:val="sr-Cyrl-CS"/>
        </w:rPr>
        <w:t>Ребаланса п</w:t>
      </w:r>
      <w:r w:rsidR="005A77A9" w:rsidRPr="001C2468">
        <w:rPr>
          <w:rFonts w:ascii="Arial" w:hAnsi="Arial" w:cs="Arial"/>
          <w:sz w:val="22"/>
          <w:lang w:val="sr-Cyrl-CS"/>
        </w:rPr>
        <w:t>лана пословања у складу је са Међународним рачуноводственим стандардима и правилима и процедурама рачуноводственог и финансијс</w:t>
      </w:r>
      <w:r w:rsidR="001A10DC">
        <w:rPr>
          <w:rFonts w:ascii="Arial" w:hAnsi="Arial" w:cs="Arial"/>
          <w:sz w:val="22"/>
          <w:lang w:val="sr-Cyrl-CS"/>
        </w:rPr>
        <w:t>ког пословања и извјештавања.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Latn-CS"/>
        </w:rPr>
      </w:pPr>
    </w:p>
    <w:p w:rsidR="005A77A9" w:rsidRPr="008A75DF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8A75DF">
        <w:rPr>
          <w:rFonts w:ascii="Arial" w:hAnsi="Arial" w:cs="Arial"/>
          <w:sz w:val="22"/>
          <w:lang w:val="sr-Cyrl-RS"/>
        </w:rPr>
        <w:t xml:space="preserve">Након </w:t>
      </w:r>
      <w:r w:rsidR="007A7E06" w:rsidRPr="008A75DF">
        <w:rPr>
          <w:rFonts w:ascii="Arial" w:hAnsi="Arial" w:cs="Arial"/>
          <w:sz w:val="22"/>
          <w:lang w:val="sr-Cyrl-RS"/>
        </w:rPr>
        <w:t>разматрања</w:t>
      </w:r>
      <w:r w:rsidR="001C2468" w:rsidRPr="008A75DF">
        <w:rPr>
          <w:rFonts w:ascii="Arial" w:hAnsi="Arial" w:cs="Arial"/>
          <w:sz w:val="22"/>
          <w:lang w:val="sr-Cyrl-RS"/>
        </w:rPr>
        <w:t xml:space="preserve"> К</w:t>
      </w:r>
      <w:r w:rsidRPr="008A75DF">
        <w:rPr>
          <w:rFonts w:ascii="Arial" w:hAnsi="Arial" w:cs="Arial"/>
          <w:sz w:val="22"/>
          <w:lang w:val="sr-Cyrl-RS"/>
        </w:rPr>
        <w:t xml:space="preserve">онсолидованог </w:t>
      </w:r>
      <w:r w:rsidR="001C2468" w:rsidRPr="008A75DF">
        <w:rPr>
          <w:rFonts w:ascii="Arial" w:hAnsi="Arial" w:cs="Arial"/>
          <w:sz w:val="22"/>
          <w:lang w:val="sr-Cyrl-RS"/>
        </w:rPr>
        <w:t>ребаланса</w:t>
      </w:r>
      <w:r w:rsidRPr="008A75DF">
        <w:rPr>
          <w:rFonts w:ascii="Arial" w:hAnsi="Arial" w:cs="Arial"/>
          <w:sz w:val="22"/>
          <w:lang w:val="sr-Cyrl-RS"/>
        </w:rPr>
        <w:t xml:space="preserve"> пословања од стране Управе Мјешовитог Холдинга ''Електропривреда</w:t>
      </w:r>
      <w:r w:rsidR="001C2468" w:rsidRPr="008A75DF">
        <w:rPr>
          <w:rFonts w:ascii="Arial" w:hAnsi="Arial" w:cs="Arial"/>
          <w:sz w:val="22"/>
          <w:lang w:val="sr-Cyrl-RS"/>
        </w:rPr>
        <w:t xml:space="preserve"> РС'' слиједи разматрање Ребаланса</w:t>
      </w:r>
      <w:r w:rsidRPr="008A75DF">
        <w:rPr>
          <w:rFonts w:ascii="Arial" w:hAnsi="Arial" w:cs="Arial"/>
          <w:sz w:val="22"/>
          <w:lang w:val="sr-Cyrl-RS"/>
        </w:rPr>
        <w:t xml:space="preserve"> од стране Колегија </w:t>
      </w:r>
      <w:r w:rsidRPr="008A75DF">
        <w:rPr>
          <w:rFonts w:ascii="Arial" w:hAnsi="Arial" w:cs="Arial"/>
          <w:sz w:val="22"/>
          <w:lang w:val="sr-Cyrl-RS"/>
        </w:rPr>
        <w:lastRenderedPageBreak/>
        <w:t>директора, Одбора за ревизију и Надзорног одбора МХ. Влада РС у функц</w:t>
      </w:r>
      <w:r w:rsidR="001C2468" w:rsidRPr="008A75DF">
        <w:rPr>
          <w:rFonts w:ascii="Arial" w:hAnsi="Arial" w:cs="Arial"/>
          <w:sz w:val="22"/>
          <w:lang w:val="sr-Cyrl-RS"/>
        </w:rPr>
        <w:t>ији Скупштине акционара усваја Ребаланс</w:t>
      </w:r>
      <w:r w:rsidR="006D2207" w:rsidRPr="008A75DF">
        <w:rPr>
          <w:rFonts w:ascii="Arial" w:hAnsi="Arial" w:cs="Arial"/>
          <w:sz w:val="22"/>
          <w:lang w:val="sr-Cyrl-RS"/>
        </w:rPr>
        <w:t xml:space="preserve"> пословања и такав доставља З</w:t>
      </w:r>
      <w:r w:rsidRPr="008A75DF">
        <w:rPr>
          <w:rFonts w:ascii="Arial" w:hAnsi="Arial" w:cs="Arial"/>
          <w:sz w:val="22"/>
          <w:lang w:val="sr-Cyrl-RS"/>
        </w:rPr>
        <w:t>ависним предузећима</w:t>
      </w:r>
      <w:r w:rsidR="006D2207" w:rsidRPr="008A75DF">
        <w:rPr>
          <w:rFonts w:ascii="Arial" w:hAnsi="Arial" w:cs="Arial"/>
          <w:sz w:val="22"/>
          <w:lang w:val="sr-Cyrl-RS"/>
        </w:rPr>
        <w:t>. Сва Зависна предузећа, у складу са Термин планом</w:t>
      </w:r>
      <w:r w:rsidR="001C2468" w:rsidRPr="008A75DF">
        <w:rPr>
          <w:rFonts w:ascii="Arial" w:hAnsi="Arial" w:cs="Arial"/>
          <w:sz w:val="22"/>
          <w:lang w:val="sr-Cyrl-RS"/>
        </w:rPr>
        <w:t>, треба да ускладе своје Ребалансе пословања са консолидованим Ребалансом</w:t>
      </w:r>
      <w:r w:rsidR="006D2207" w:rsidRPr="008A75DF">
        <w:rPr>
          <w:rFonts w:ascii="Arial" w:hAnsi="Arial" w:cs="Arial"/>
          <w:sz w:val="22"/>
          <w:lang w:val="sr-Cyrl-RS"/>
        </w:rPr>
        <w:t xml:space="preserve"> пословања МХ ЕРС и исте доставе својим органима на усвајање. </w:t>
      </w:r>
      <w:r w:rsidRPr="008A75DF">
        <w:rPr>
          <w:rFonts w:ascii="Arial" w:hAnsi="Arial" w:cs="Arial"/>
          <w:sz w:val="22"/>
          <w:lang w:val="sr-Cyrl-RS"/>
        </w:rPr>
        <w:t xml:space="preserve"> </w:t>
      </w:r>
    </w:p>
    <w:p w:rsidR="005A77A9" w:rsidRPr="008A75DF" w:rsidRDefault="005A77A9" w:rsidP="005A77A9">
      <w:pPr>
        <w:jc w:val="both"/>
        <w:rPr>
          <w:rFonts w:ascii="Arial" w:hAnsi="Arial" w:cs="Arial"/>
          <w:sz w:val="22"/>
        </w:rPr>
      </w:pPr>
    </w:p>
    <w:p w:rsidR="005A77A9" w:rsidRPr="008A75DF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8A75DF">
        <w:rPr>
          <w:rFonts w:ascii="Arial" w:hAnsi="Arial" w:cs="Arial"/>
          <w:sz w:val="22"/>
        </w:rPr>
        <w:t xml:space="preserve">За период за који је </w:t>
      </w:r>
      <w:r w:rsidRPr="008A75DF">
        <w:rPr>
          <w:rFonts w:ascii="Arial" w:hAnsi="Arial" w:cs="Arial"/>
          <w:sz w:val="22"/>
          <w:lang w:val="sr-Cyrl-RS"/>
        </w:rPr>
        <w:t>усвојен</w:t>
      </w:r>
      <w:r w:rsidRPr="008A75DF">
        <w:rPr>
          <w:rFonts w:ascii="Arial" w:hAnsi="Arial" w:cs="Arial"/>
          <w:sz w:val="22"/>
          <w:lang w:val="sr-Cyrl-CS"/>
        </w:rPr>
        <w:t>,</w:t>
      </w:r>
      <w:r w:rsidRPr="008A75DF">
        <w:rPr>
          <w:rFonts w:ascii="Arial" w:hAnsi="Arial" w:cs="Arial"/>
          <w:sz w:val="22"/>
        </w:rPr>
        <w:t xml:space="preserve"> </w:t>
      </w:r>
      <w:r w:rsidR="008A75DF" w:rsidRPr="008A75DF">
        <w:rPr>
          <w:rFonts w:ascii="Arial" w:hAnsi="Arial" w:cs="Arial"/>
          <w:sz w:val="22"/>
          <w:lang w:val="sr-Cyrl-RS"/>
        </w:rPr>
        <w:t>Ребаланс</w:t>
      </w:r>
      <w:r w:rsidRPr="008A75DF">
        <w:rPr>
          <w:rFonts w:ascii="Arial" w:hAnsi="Arial" w:cs="Arial"/>
          <w:sz w:val="22"/>
        </w:rPr>
        <w:t xml:space="preserve"> пословања представља основ пословних активности предузећа. </w:t>
      </w:r>
      <w:r w:rsidRPr="008A75DF">
        <w:rPr>
          <w:rFonts w:ascii="Arial" w:hAnsi="Arial" w:cs="Arial"/>
          <w:sz w:val="22"/>
          <w:lang w:val="sr-Cyrl-CS"/>
        </w:rPr>
        <w:t xml:space="preserve">Изражен у финансијским величинама појединачних ставки прихода и расхода, омогућава редовно праћење и контролу учинака на свим релевантним нивоима у односу на задате величине и оцјену успјешности рада менаџмента. 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Latn-CS"/>
        </w:rPr>
      </w:pPr>
    </w:p>
    <w:p w:rsidR="005A77A9" w:rsidRPr="00201C1C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201C1C">
        <w:rPr>
          <w:rFonts w:ascii="Arial" w:hAnsi="Arial" w:cs="Arial"/>
          <w:sz w:val="22"/>
          <w:lang w:val="sr-Cyrl-CS"/>
        </w:rPr>
        <w:t xml:space="preserve">Саставни дијелови </w:t>
      </w:r>
      <w:r w:rsidR="00201C1C" w:rsidRPr="00201C1C">
        <w:rPr>
          <w:rFonts w:ascii="Arial" w:hAnsi="Arial" w:cs="Arial"/>
          <w:sz w:val="22"/>
          <w:lang w:val="sr-Cyrl-CS"/>
        </w:rPr>
        <w:t>Ребаланса п</w:t>
      </w:r>
      <w:r w:rsidRPr="00201C1C">
        <w:rPr>
          <w:rFonts w:ascii="Arial" w:hAnsi="Arial" w:cs="Arial"/>
          <w:sz w:val="22"/>
          <w:lang w:val="sr-Cyrl-CS"/>
        </w:rPr>
        <w:t xml:space="preserve">лана </w:t>
      </w:r>
      <w:r w:rsidRPr="00201C1C">
        <w:rPr>
          <w:rFonts w:ascii="Arial" w:hAnsi="Arial" w:cs="Arial"/>
          <w:sz w:val="22"/>
        </w:rPr>
        <w:t xml:space="preserve">пословања </w:t>
      </w:r>
      <w:r w:rsidRPr="00201C1C">
        <w:rPr>
          <w:rFonts w:ascii="Arial" w:hAnsi="Arial" w:cs="Arial"/>
          <w:sz w:val="22"/>
          <w:lang w:val="sr-Cyrl-CS"/>
        </w:rPr>
        <w:t>за 20</w:t>
      </w:r>
      <w:r w:rsidRPr="00201C1C">
        <w:rPr>
          <w:rFonts w:ascii="Arial" w:hAnsi="Arial" w:cs="Arial"/>
          <w:sz w:val="22"/>
        </w:rPr>
        <w:t>1</w:t>
      </w:r>
      <w:r w:rsidR="00C161F7">
        <w:rPr>
          <w:rFonts w:ascii="Arial" w:hAnsi="Arial" w:cs="Arial"/>
          <w:sz w:val="22"/>
        </w:rPr>
        <w:t>8</w:t>
      </w:r>
      <w:r w:rsidRPr="00201C1C">
        <w:rPr>
          <w:rFonts w:ascii="Arial" w:hAnsi="Arial" w:cs="Arial"/>
          <w:sz w:val="22"/>
          <w:lang w:val="sr-Cyrl-CS"/>
        </w:rPr>
        <w:t xml:space="preserve">. годину су: </w:t>
      </w:r>
    </w:p>
    <w:p w:rsidR="005A77A9" w:rsidRPr="00201C1C" w:rsidRDefault="00201C1C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201C1C">
        <w:rPr>
          <w:rFonts w:ascii="Arial" w:hAnsi="Arial" w:cs="Arial"/>
          <w:sz w:val="22"/>
          <w:lang w:val="sr-Cyrl-CS"/>
        </w:rPr>
        <w:t>Ребаланс електроенергетског</w:t>
      </w:r>
      <w:r w:rsidR="005A77A9" w:rsidRPr="00201C1C">
        <w:rPr>
          <w:rFonts w:ascii="Arial" w:hAnsi="Arial" w:cs="Arial"/>
          <w:sz w:val="22"/>
          <w:lang w:val="sr-Cyrl-CS"/>
        </w:rPr>
        <w:t xml:space="preserve"> биланс</w:t>
      </w:r>
      <w:r w:rsidRPr="00201C1C">
        <w:rPr>
          <w:rFonts w:ascii="Arial" w:hAnsi="Arial" w:cs="Arial"/>
          <w:sz w:val="22"/>
          <w:lang w:val="sr-Cyrl-CS"/>
        </w:rPr>
        <w:t>а</w:t>
      </w:r>
      <w:r w:rsidR="005A77A9" w:rsidRPr="00201C1C">
        <w:rPr>
          <w:rFonts w:ascii="Arial" w:hAnsi="Arial" w:cs="Arial"/>
          <w:sz w:val="22"/>
          <w:lang w:val="sr-Cyrl-CS"/>
        </w:rPr>
        <w:t xml:space="preserve"> за 20</w:t>
      </w:r>
      <w:r w:rsidR="005A77A9" w:rsidRPr="00201C1C">
        <w:rPr>
          <w:rFonts w:ascii="Arial" w:hAnsi="Arial" w:cs="Arial"/>
          <w:sz w:val="22"/>
        </w:rPr>
        <w:t>1</w:t>
      </w:r>
      <w:r w:rsidR="00C161F7">
        <w:rPr>
          <w:rFonts w:ascii="Arial" w:hAnsi="Arial" w:cs="Arial"/>
          <w:sz w:val="22"/>
        </w:rPr>
        <w:t>8</w:t>
      </w:r>
      <w:r w:rsidR="005A77A9" w:rsidRPr="00201C1C">
        <w:rPr>
          <w:rFonts w:ascii="Arial" w:hAnsi="Arial" w:cs="Arial"/>
          <w:sz w:val="22"/>
          <w:lang w:val="sr-Cyrl-CS"/>
        </w:rPr>
        <w:t>.годину</w:t>
      </w:r>
      <w:r w:rsidR="005A77A9" w:rsidRPr="00201C1C">
        <w:rPr>
          <w:rFonts w:ascii="Arial" w:hAnsi="Arial" w:cs="Arial"/>
          <w:sz w:val="22"/>
        </w:rPr>
        <w:t>,</w:t>
      </w:r>
      <w:r w:rsidR="005A77A9" w:rsidRPr="00201C1C">
        <w:rPr>
          <w:rFonts w:ascii="Arial" w:hAnsi="Arial" w:cs="Arial"/>
          <w:sz w:val="22"/>
          <w:lang w:val="sr-Cyrl-CS"/>
        </w:rPr>
        <w:t xml:space="preserve"> </w:t>
      </w:r>
    </w:p>
    <w:p w:rsidR="005A77A9" w:rsidRPr="00201C1C" w:rsidRDefault="005A77A9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Cyrl-CS"/>
        </w:rPr>
      </w:pPr>
      <w:r w:rsidRPr="00201C1C">
        <w:rPr>
          <w:rFonts w:ascii="Arial" w:hAnsi="Arial" w:cs="Arial"/>
          <w:sz w:val="22"/>
          <w:lang w:val="sr-Cyrl-CS"/>
        </w:rPr>
        <w:t xml:space="preserve">Економско-финансијске пројекције </w:t>
      </w:r>
      <w:r w:rsidR="00201C1C" w:rsidRPr="00201C1C">
        <w:rPr>
          <w:rFonts w:ascii="Arial" w:hAnsi="Arial" w:cs="Arial"/>
          <w:sz w:val="22"/>
          <w:lang w:val="sr-Cyrl-CS"/>
        </w:rPr>
        <w:t xml:space="preserve">Ребаланса </w:t>
      </w:r>
      <w:r w:rsidRPr="00201C1C">
        <w:rPr>
          <w:rFonts w:ascii="Arial" w:hAnsi="Arial" w:cs="Arial"/>
          <w:sz w:val="22"/>
          <w:lang w:val="sr-Cyrl-CS"/>
        </w:rPr>
        <w:t>пословања</w:t>
      </w:r>
      <w:r w:rsidRPr="00201C1C">
        <w:rPr>
          <w:rFonts w:ascii="Arial" w:hAnsi="Arial" w:cs="Arial"/>
          <w:sz w:val="22"/>
          <w:lang w:val="sr-Latn-CS"/>
        </w:rPr>
        <w:t xml:space="preserve"> за 201</w:t>
      </w:r>
      <w:r w:rsidR="00C161F7">
        <w:rPr>
          <w:rFonts w:ascii="Arial" w:hAnsi="Arial" w:cs="Arial"/>
          <w:sz w:val="22"/>
        </w:rPr>
        <w:t>8</w:t>
      </w:r>
      <w:r w:rsidRPr="00201C1C">
        <w:rPr>
          <w:rFonts w:ascii="Arial" w:hAnsi="Arial" w:cs="Arial"/>
          <w:sz w:val="22"/>
          <w:lang w:val="sr-Latn-CS"/>
        </w:rPr>
        <w:t>. годину</w:t>
      </w:r>
      <w:r w:rsidRPr="00201C1C">
        <w:rPr>
          <w:rFonts w:ascii="Arial" w:hAnsi="Arial" w:cs="Arial"/>
          <w:sz w:val="22"/>
          <w:lang w:val="sr-Cyrl-CS"/>
        </w:rPr>
        <w:t>,</w:t>
      </w:r>
    </w:p>
    <w:p w:rsidR="005A77A9" w:rsidRPr="00201C1C" w:rsidRDefault="00201C1C" w:rsidP="0046227E">
      <w:pPr>
        <w:numPr>
          <w:ilvl w:val="0"/>
          <w:numId w:val="1"/>
        </w:numPr>
        <w:jc w:val="both"/>
        <w:rPr>
          <w:rFonts w:ascii="Arial" w:hAnsi="Arial" w:cs="Arial"/>
          <w:sz w:val="22"/>
          <w:lang w:val="sr-Latn-CS"/>
        </w:rPr>
      </w:pPr>
      <w:r w:rsidRPr="00201C1C">
        <w:rPr>
          <w:rFonts w:ascii="Arial" w:hAnsi="Arial" w:cs="Arial"/>
          <w:sz w:val="22"/>
          <w:lang w:val="sr-Cyrl-CS"/>
        </w:rPr>
        <w:t>Ребаланс</w:t>
      </w:r>
      <w:r w:rsidR="005A77A9" w:rsidRPr="00201C1C">
        <w:rPr>
          <w:rFonts w:ascii="Arial" w:hAnsi="Arial" w:cs="Arial"/>
          <w:sz w:val="22"/>
          <w:lang w:val="sr-Cyrl-CS"/>
        </w:rPr>
        <w:t xml:space="preserve"> инвестиција за </w:t>
      </w:r>
      <w:r w:rsidR="00EB72AE" w:rsidRPr="00201C1C">
        <w:rPr>
          <w:rFonts w:ascii="Arial" w:hAnsi="Arial" w:cs="Arial"/>
          <w:sz w:val="22"/>
          <w:lang w:val="sr-Cyrl-CS"/>
        </w:rPr>
        <w:t>201</w:t>
      </w:r>
      <w:r w:rsidR="00C161F7">
        <w:rPr>
          <w:rFonts w:ascii="Arial" w:hAnsi="Arial" w:cs="Arial"/>
          <w:sz w:val="22"/>
        </w:rPr>
        <w:t>8</w:t>
      </w:r>
      <w:r w:rsidR="005A77A9" w:rsidRPr="00201C1C">
        <w:rPr>
          <w:rFonts w:ascii="Arial" w:hAnsi="Arial" w:cs="Arial"/>
          <w:sz w:val="22"/>
          <w:lang w:val="sr-Cyrl-CS"/>
        </w:rPr>
        <w:t>. годину.</w:t>
      </w:r>
    </w:p>
    <w:p w:rsidR="005A77A9" w:rsidRPr="003B57C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  <w:r w:rsidRPr="003B57C7">
        <w:rPr>
          <w:rFonts w:ascii="Arial" w:hAnsi="Arial" w:cs="Arial"/>
          <w:sz w:val="22"/>
          <w:highlight w:val="yellow"/>
          <w:lang w:val="sr-Cyrl-CS"/>
        </w:rPr>
        <w:t xml:space="preserve">   </w:t>
      </w:r>
    </w:p>
    <w:p w:rsidR="00487896" w:rsidRPr="001A10DC" w:rsidRDefault="00487896" w:rsidP="00487896">
      <w:pPr>
        <w:keepNext/>
        <w:suppressAutoHyphens/>
        <w:spacing w:before="240" w:after="60"/>
        <w:outlineLvl w:val="0"/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</w:pPr>
      <w:bookmarkStart w:id="2" w:name="_Toc481062245"/>
      <w:bookmarkStart w:id="3" w:name="_Toc500762407"/>
      <w:r w:rsidRPr="001A10DC">
        <w:rPr>
          <w:rFonts w:ascii="Arial" w:hAnsi="Arial" w:cs="Arial"/>
          <w:b/>
          <w:bCs/>
          <w:kern w:val="32"/>
          <w:sz w:val="22"/>
          <w:szCs w:val="22"/>
          <w:lang w:val="sr-Cyrl-CS" w:eastAsia="ar-SA"/>
        </w:rPr>
        <w:t>Ризици пословања</w:t>
      </w:r>
      <w:r w:rsidRPr="001A10DC">
        <w:rPr>
          <w:rFonts w:ascii="Arial" w:hAnsi="Arial" w:cs="Arial"/>
          <w:b/>
          <w:bCs/>
          <w:kern w:val="32"/>
          <w:sz w:val="22"/>
          <w:szCs w:val="22"/>
          <w:lang w:val="sr-Latn-BA" w:eastAsia="ar-SA"/>
        </w:rPr>
        <w:t xml:space="preserve"> </w:t>
      </w:r>
      <w:r w:rsidRPr="001A10DC"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  <w:t xml:space="preserve">у контексту остварења </w:t>
      </w:r>
      <w:r w:rsidR="001A10DC" w:rsidRPr="001A10DC"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  <w:t>Ребаланса</w:t>
      </w:r>
      <w:r w:rsidRPr="001A10DC">
        <w:rPr>
          <w:rFonts w:ascii="Arial" w:hAnsi="Arial" w:cs="Arial"/>
          <w:b/>
          <w:bCs/>
          <w:kern w:val="32"/>
          <w:sz w:val="22"/>
          <w:szCs w:val="22"/>
          <w:lang w:val="sr-Cyrl-BA" w:eastAsia="ar-SA"/>
        </w:rPr>
        <w:t xml:space="preserve"> пословања</w:t>
      </w:r>
      <w:bookmarkEnd w:id="2"/>
      <w:bookmarkEnd w:id="3"/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</w:rPr>
      </w:pPr>
    </w:p>
    <w:p w:rsidR="00487896" w:rsidRPr="001A10DC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ЗЕДП „Електро-Бијељина“ а.д. Бијељина послује у окружењу у ком дјелују различити фактори који могу утицати на реализацију планираних величина. Идентификовање ризика и сигнализирање у којим аспектима је највећа изложеност ризику дефинише се кроз надзор путем одјељења Интерне ревизије и Одбора за ревизију. Управљање ризицима усмјерено је ка минимизирању потенцијалних негативних утицаја на финансијску стабилност и пословање Друштва.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</w:p>
    <w:p w:rsidR="00487896" w:rsidRPr="001A10DC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На основу Годишњих студија ризика одјељења Интерне ревизије, уочени су сљедећи ризици:</w:t>
      </w:r>
    </w:p>
    <w:p w:rsidR="00487896" w:rsidRPr="001A10DC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Ризици из финансијских активности</w:t>
      </w:r>
    </w:p>
    <w:p w:rsidR="00487896" w:rsidRPr="001A10DC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активности,</w:t>
      </w:r>
    </w:p>
    <w:p w:rsidR="00487896" w:rsidRPr="001A10DC" w:rsidRDefault="00487896" w:rsidP="0046227E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активности.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</w:p>
    <w:p w:rsidR="00487896" w:rsidRPr="001A10DC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 xml:space="preserve">Сваки од наведених ризика у различитој мјери и обиму утиче  на остварење планираних величина. 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</w:rPr>
      </w:pP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 xml:space="preserve">Ризици из финансијске активности идентификовани су у домену ефикасног и ефективног коришћења кредитних средстава, наплате потраживања и стварању обавеза. </w:t>
      </w:r>
    </w:p>
    <w:p w:rsidR="00487896" w:rsidRPr="003B57C7" w:rsidRDefault="00487896" w:rsidP="00487896">
      <w:pPr>
        <w:jc w:val="both"/>
        <w:rPr>
          <w:rFonts w:ascii="Arial" w:hAnsi="Arial" w:cs="Arial"/>
          <w:sz w:val="22"/>
          <w:szCs w:val="22"/>
          <w:highlight w:val="yellow"/>
          <w:lang w:val="sr-Cyrl-RS" w:eastAsia="sr-Latn-CS"/>
        </w:rPr>
      </w:pPr>
    </w:p>
    <w:p w:rsidR="00487896" w:rsidRPr="001A10DC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A10DC">
        <w:rPr>
          <w:rFonts w:ascii="Arial" w:hAnsi="Arial" w:cs="Arial"/>
          <w:sz w:val="22"/>
          <w:szCs w:val="22"/>
          <w:lang w:val="sr-Cyrl-RS" w:eastAsia="sr-Latn-CS"/>
        </w:rPr>
        <w:t>Основни финансијски ризици су: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1A10DC">
        <w:rPr>
          <w:rFonts w:ascii="Arial" w:hAnsi="Arial" w:cs="Arial"/>
          <w:sz w:val="22"/>
          <w:szCs w:val="22"/>
          <w:lang w:val="sr-Cyrl-RS" w:eastAsia="sr-Latn-CS"/>
        </w:rPr>
        <w:t>Ризик од промјене каматних стопа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Ризик од промјене курса страних валута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цијена капитала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Ризик од промјене цијене производа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Ризик ликвидности</w:t>
      </w:r>
    </w:p>
    <w:p w:rsidR="00487896" w:rsidRPr="001A10DC" w:rsidRDefault="00487896" w:rsidP="00CB505C">
      <w:pPr>
        <w:pStyle w:val="ListParagraph"/>
        <w:numPr>
          <w:ilvl w:val="0"/>
          <w:numId w:val="32"/>
        </w:numPr>
        <w:spacing w:after="200" w:line="276" w:lineRule="auto"/>
        <w:contextualSpacing/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1A10DC">
        <w:rPr>
          <w:rFonts w:ascii="Arial" w:eastAsiaTheme="minorHAnsi" w:hAnsi="Arial" w:cs="Arial"/>
          <w:sz w:val="22"/>
          <w:szCs w:val="22"/>
          <w:lang w:val="sr-Cyrl-CS"/>
        </w:rPr>
        <w:t>Ризик наплате потраживања</w:t>
      </w:r>
    </w:p>
    <w:p w:rsidR="00487896" w:rsidRPr="003B57C7" w:rsidRDefault="00487896" w:rsidP="00487896">
      <w:pPr>
        <w:jc w:val="both"/>
        <w:rPr>
          <w:rFonts w:ascii="Arial" w:hAnsi="Arial" w:cs="Arial"/>
          <w:sz w:val="22"/>
          <w:szCs w:val="22"/>
          <w:highlight w:val="yellow"/>
          <w:lang w:val="sr-Cyrl-CS" w:eastAsia="sr-Latn-CS"/>
        </w:rPr>
      </w:pPr>
    </w:p>
    <w:p w:rsidR="00487896" w:rsidRPr="001A10DC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1A10DC">
        <w:rPr>
          <w:rFonts w:ascii="Arial" w:hAnsi="Arial" w:cs="Arial"/>
          <w:sz w:val="22"/>
          <w:szCs w:val="22"/>
          <w:lang w:val="sr-Cyrl-CS" w:eastAsia="sr-Latn-CS"/>
        </w:rPr>
        <w:lastRenderedPageBreak/>
        <w:t xml:space="preserve">Приликом израде </w:t>
      </w:r>
      <w:r w:rsidR="001A10DC" w:rsidRPr="001A10DC">
        <w:rPr>
          <w:rFonts w:ascii="Arial" w:hAnsi="Arial" w:cs="Arial"/>
          <w:sz w:val="22"/>
          <w:szCs w:val="22"/>
          <w:lang w:val="sr-Cyrl-CS" w:eastAsia="sr-Latn-CS"/>
        </w:rPr>
        <w:t>Ребаланса</w:t>
      </w:r>
      <w:r w:rsidRPr="001A10DC">
        <w:rPr>
          <w:rFonts w:ascii="Arial" w:hAnsi="Arial" w:cs="Arial"/>
          <w:sz w:val="22"/>
          <w:szCs w:val="22"/>
          <w:lang w:val="sr-Cyrl-CS" w:eastAsia="sr-Latn-CS"/>
        </w:rPr>
        <w:t xml:space="preserve"> пословања на процјену прихода и расхода, те планираних средстава и извора средстава утичу у великој мјери последња два наведена финансијска ризика, док је утицај осталих занемарљив.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</w:p>
    <w:p w:rsidR="00487896" w:rsidRPr="0008753D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08753D">
        <w:rPr>
          <w:rFonts w:ascii="Arial" w:eastAsiaTheme="minorHAnsi" w:hAnsi="Arial" w:cs="Arial"/>
          <w:sz w:val="22"/>
          <w:szCs w:val="22"/>
          <w:lang w:val="sr-Cyrl-CS"/>
        </w:rPr>
        <w:t>Ризици из инвестиционих активности</w:t>
      </w:r>
      <w:r w:rsidRPr="0008753D">
        <w:rPr>
          <w:rFonts w:ascii="Arial" w:eastAsiaTheme="minorHAnsi" w:hAnsi="Arial" w:cs="Arial"/>
          <w:sz w:val="22"/>
          <w:szCs w:val="22"/>
        </w:rPr>
        <w:t xml:space="preserve"> 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>идентификовани су у домену ефикасног коришћења и управљања основни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 xml:space="preserve"> средст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вим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>а, залиха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ма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>, као и њихов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им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 xml:space="preserve"> благовремени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м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 xml:space="preserve"> набавк</w:t>
      </w:r>
      <w:r w:rsidR="00CB505C" w:rsidRPr="0008753D">
        <w:rPr>
          <w:rFonts w:ascii="Arial" w:eastAsiaTheme="minorHAnsi" w:hAnsi="Arial" w:cs="Arial"/>
          <w:sz w:val="22"/>
          <w:szCs w:val="22"/>
          <w:lang w:val="sr-Cyrl-CS"/>
        </w:rPr>
        <w:t>ама и одржавању.</w:t>
      </w:r>
      <w:r w:rsidRPr="0008753D">
        <w:rPr>
          <w:rFonts w:ascii="Arial" w:eastAsiaTheme="minorHAnsi" w:hAnsi="Arial" w:cs="Arial"/>
          <w:sz w:val="22"/>
          <w:szCs w:val="22"/>
          <w:lang w:val="sr-Cyrl-CS"/>
        </w:rPr>
        <w:t xml:space="preserve"> </w:t>
      </w:r>
    </w:p>
    <w:p w:rsidR="00487896" w:rsidRPr="003B57C7" w:rsidRDefault="00487896" w:rsidP="00487896">
      <w:pPr>
        <w:jc w:val="both"/>
        <w:rPr>
          <w:rFonts w:ascii="Arial" w:hAnsi="Arial" w:cs="Arial"/>
          <w:sz w:val="22"/>
          <w:szCs w:val="22"/>
          <w:highlight w:val="yellow"/>
          <w:lang w:val="sr-Cyrl-CS" w:eastAsia="sr-Latn-CS"/>
        </w:rPr>
      </w:pPr>
    </w:p>
    <w:p w:rsidR="00487896" w:rsidRPr="0008753D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08753D">
        <w:rPr>
          <w:rFonts w:ascii="Arial" w:hAnsi="Arial" w:cs="Arial"/>
          <w:sz w:val="22"/>
          <w:szCs w:val="22"/>
          <w:lang w:val="sr-Cyrl-CS" w:eastAsia="sr-Latn-CS"/>
        </w:rPr>
        <w:t xml:space="preserve">У укупној вриједности Друштва значајан је удио и вриједност некретнина, постројења и опреме. </w:t>
      </w:r>
    </w:p>
    <w:p w:rsidR="00487896" w:rsidRPr="0008753D" w:rsidRDefault="00487896" w:rsidP="00487896">
      <w:pPr>
        <w:jc w:val="both"/>
        <w:rPr>
          <w:rFonts w:ascii="Arial" w:hAnsi="Arial" w:cs="Arial"/>
          <w:sz w:val="22"/>
          <w:szCs w:val="22"/>
          <w:lang w:val="sr-Cyrl-CS" w:eastAsia="sr-Latn-CS"/>
        </w:rPr>
      </w:pP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На висину тро</w:t>
      </w:r>
      <w:r w:rsidR="00C161F7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шкова који се могу јавити у 201</w:t>
      </w:r>
      <w:r w:rsidR="00C161F7">
        <w:rPr>
          <w:rFonts w:ascii="Arial" w:eastAsiaTheme="minorHAnsi" w:hAnsi="Arial" w:cs="Arial"/>
          <w:color w:val="000000"/>
          <w:sz w:val="22"/>
          <w:szCs w:val="22"/>
        </w:rPr>
        <w:t>8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. години утичу ефикасност кориштења основних средстава, те одржавање истих. Висок ниво ризика идентификован је и у домену управљања залихама. Адекватном процјеном и оптималним нивоом набавки залиха могуће је смањити ризик од техничке застар</w:t>
      </w:r>
      <w:r w:rsidR="00CB505C"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ј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елости залиха и стварања ефекта „нагомилавања“ залиха.</w:t>
      </w:r>
      <w:r w:rsidRPr="0008753D">
        <w:rPr>
          <w:rFonts w:ascii="Arial" w:hAnsi="Arial" w:cs="Arial"/>
          <w:sz w:val="22"/>
          <w:szCs w:val="22"/>
          <w:lang w:val="sr-Cyrl-CS" w:eastAsia="sr-Latn-CS"/>
        </w:rPr>
        <w:t xml:space="preserve"> 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  <w:highlight w:val="yellow"/>
          <w:lang w:val="sr-Cyrl-RS"/>
        </w:rPr>
      </w:pPr>
    </w:p>
    <w:p w:rsidR="00487896" w:rsidRPr="0008753D" w:rsidRDefault="00487896" w:rsidP="00487896">
      <w:pPr>
        <w:jc w:val="both"/>
        <w:rPr>
          <w:rFonts w:ascii="Arial" w:eastAsiaTheme="minorHAnsi" w:hAnsi="Arial" w:cs="Arial"/>
          <w:color w:val="000000"/>
          <w:sz w:val="22"/>
          <w:szCs w:val="22"/>
        </w:rPr>
      </w:pPr>
      <w:r w:rsidRPr="0008753D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Када говоримо о </w:t>
      </w:r>
      <w:r w:rsidR="0008753D" w:rsidRPr="0008753D">
        <w:rPr>
          <w:rFonts w:ascii="Arial" w:eastAsiaTheme="minorHAnsi" w:hAnsi="Arial" w:cs="Arial"/>
          <w:color w:val="000000"/>
          <w:sz w:val="22"/>
          <w:szCs w:val="22"/>
          <w:lang w:val="sr-Cyrl-RS"/>
        </w:rPr>
        <w:t>Ребалансу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RS"/>
        </w:rPr>
        <w:t xml:space="preserve"> инвестиција, идентификовани су</w:t>
      </w:r>
      <w:r w:rsidRPr="0008753D">
        <w:rPr>
          <w:rFonts w:ascii="Arial" w:eastAsiaTheme="minorHAnsi" w:hAnsi="Arial" w:cs="Arial"/>
          <w:color w:val="000000"/>
          <w:sz w:val="22"/>
          <w:szCs w:val="22"/>
        </w:rPr>
        <w:t xml:space="preserve"> ризи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 xml:space="preserve">ци који могу проистећи из дугог периода припреме и усвајања </w:t>
      </w:r>
      <w:r w:rsidR="009B02EE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Ребаланс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а инвестициј</w:t>
      </w:r>
      <w:r w:rsidR="00CB505C"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а</w:t>
      </w:r>
      <w:r w:rsidRPr="0008753D">
        <w:rPr>
          <w:rFonts w:ascii="Arial" w:eastAsiaTheme="minorHAnsi" w:hAnsi="Arial" w:cs="Arial"/>
          <w:color w:val="000000"/>
          <w:sz w:val="22"/>
          <w:szCs w:val="22"/>
          <w:lang w:val="sr-Cyrl-CS"/>
        </w:rPr>
        <w:t>, административних припрема саме инвестиције (дозвола, сатласности, рјешења итд.), изградње, надзора, вођења документације о грађењу, обезбеђења потребних средстава и материјала за рад.</w:t>
      </w:r>
    </w:p>
    <w:p w:rsidR="00487896" w:rsidRPr="003B57C7" w:rsidRDefault="00487896" w:rsidP="00487896">
      <w:pPr>
        <w:suppressAutoHyphens/>
        <w:jc w:val="both"/>
        <w:rPr>
          <w:rFonts w:ascii="Arial" w:eastAsiaTheme="minorHAnsi" w:hAnsi="Arial" w:cs="Arial"/>
          <w:color w:val="000000"/>
          <w:sz w:val="22"/>
          <w:szCs w:val="22"/>
          <w:highlight w:val="yellow"/>
          <w:lang w:val="sr-Cyrl-CS"/>
        </w:rPr>
      </w:pPr>
    </w:p>
    <w:p w:rsidR="00487896" w:rsidRPr="00391F04" w:rsidRDefault="00487896" w:rsidP="00487896">
      <w:pPr>
        <w:jc w:val="both"/>
        <w:rPr>
          <w:rFonts w:ascii="Arial" w:hAnsi="Arial" w:cs="Arial"/>
          <w:b/>
          <w:bCs/>
          <w:iCs/>
          <w:sz w:val="22"/>
          <w:szCs w:val="22"/>
          <w:lang w:val="sr-Cyrl-CS"/>
        </w:rPr>
      </w:pPr>
      <w:r w:rsidRPr="00391F04">
        <w:rPr>
          <w:rFonts w:ascii="Arial" w:eastAsiaTheme="minorHAnsi" w:hAnsi="Arial" w:cs="Arial"/>
          <w:sz w:val="22"/>
          <w:szCs w:val="22"/>
          <w:lang w:val="sr-Cyrl-CS"/>
        </w:rPr>
        <w:t>Ризици из пословних активности идентификовани су у домену трошков</w:t>
      </w:r>
      <w:r w:rsidR="00CB505C" w:rsidRPr="00391F04">
        <w:rPr>
          <w:rFonts w:ascii="Arial" w:eastAsiaTheme="minorHAnsi" w:hAnsi="Arial" w:cs="Arial"/>
          <w:sz w:val="22"/>
          <w:szCs w:val="22"/>
          <w:lang w:val="sr-Cyrl-CS"/>
        </w:rPr>
        <w:t>а, прихода, потрошње и остварења</w:t>
      </w:r>
      <w:r w:rsidRPr="00391F04">
        <w:rPr>
          <w:rFonts w:ascii="Arial" w:eastAsiaTheme="minorHAnsi" w:hAnsi="Arial" w:cs="Arial"/>
          <w:sz w:val="22"/>
          <w:szCs w:val="22"/>
          <w:lang w:val="sr-Cyrl-CS"/>
        </w:rPr>
        <w:t xml:space="preserve"> губитака, односно добитака пословне активности</w:t>
      </w:r>
      <w:r w:rsidRPr="00391F04">
        <w:rPr>
          <w:rFonts w:ascii="Arial" w:eastAsiaTheme="minorHAnsi" w:hAnsi="Arial" w:cs="Arial"/>
          <w:b/>
          <w:sz w:val="22"/>
          <w:szCs w:val="22"/>
          <w:lang w:val="sr-Cyrl-CS"/>
        </w:rPr>
        <w:t>.</w:t>
      </w:r>
    </w:p>
    <w:p w:rsidR="00487896" w:rsidRPr="003B57C7" w:rsidRDefault="00487896" w:rsidP="00487896">
      <w:pPr>
        <w:jc w:val="both"/>
        <w:rPr>
          <w:rFonts w:ascii="Arial" w:hAnsi="Arial" w:cs="Arial"/>
          <w:bCs/>
          <w:iCs/>
          <w:sz w:val="22"/>
          <w:szCs w:val="22"/>
          <w:highlight w:val="yellow"/>
          <w:lang w:val="sr-Cyrl-RS"/>
        </w:rPr>
      </w:pPr>
    </w:p>
    <w:p w:rsidR="00487896" w:rsidRPr="00391F04" w:rsidRDefault="00487896" w:rsidP="00487896">
      <w:pPr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391F04">
        <w:rPr>
          <w:rFonts w:ascii="Arial" w:hAnsi="Arial" w:cs="Arial"/>
          <w:sz w:val="22"/>
          <w:szCs w:val="22"/>
          <w:lang w:val="sr-Cyrl-CS" w:eastAsia="sr-Latn-CS"/>
        </w:rPr>
        <w:t>На резултат пословања негативно може утицати</w:t>
      </w:r>
      <w:r w:rsidRPr="00391F04">
        <w:rPr>
          <w:rFonts w:ascii="Arial" w:hAnsi="Arial" w:cs="Arial"/>
          <w:sz w:val="22"/>
          <w:szCs w:val="22"/>
          <w:lang w:val="sr-Cyrl-RS" w:eastAsia="sr-Latn-CS"/>
        </w:rPr>
        <w:t xml:space="preserve"> </w:t>
      </w:r>
      <w:r w:rsidRPr="00391F04">
        <w:rPr>
          <w:rFonts w:ascii="Arial" w:hAnsi="Arial" w:cs="Arial"/>
          <w:sz w:val="22"/>
          <w:szCs w:val="22"/>
          <w:lang w:val="sr-Cyrl-CS" w:eastAsia="sr-Latn-CS"/>
        </w:rPr>
        <w:t>раст трошкова производних услуга (</w:t>
      </w:r>
      <w:r w:rsidRPr="00391F04">
        <w:rPr>
          <w:rFonts w:ascii="Arial" w:hAnsi="Arial" w:cs="Arial"/>
          <w:sz w:val="22"/>
          <w:szCs w:val="22"/>
          <w:lang w:eastAsia="sr-Latn-CS"/>
        </w:rPr>
        <w:t xml:space="preserve">нарочито </w:t>
      </w:r>
      <w:r w:rsidRPr="00391F04">
        <w:rPr>
          <w:rFonts w:ascii="Arial" w:hAnsi="Arial" w:cs="Arial"/>
          <w:sz w:val="22"/>
          <w:szCs w:val="22"/>
          <w:lang w:val="sr-Cyrl-CS" w:eastAsia="sr-Latn-CS"/>
        </w:rPr>
        <w:t>пошта</w:t>
      </w:r>
      <w:r w:rsidRPr="00391F04">
        <w:rPr>
          <w:rFonts w:ascii="Arial" w:hAnsi="Arial" w:cs="Arial"/>
          <w:sz w:val="22"/>
          <w:szCs w:val="22"/>
          <w:lang w:eastAsia="sr-Latn-CS"/>
        </w:rPr>
        <w:t>нских услуга</w:t>
      </w:r>
      <w:r w:rsidRPr="00391F04">
        <w:rPr>
          <w:rFonts w:ascii="Arial" w:hAnsi="Arial" w:cs="Arial"/>
          <w:sz w:val="22"/>
          <w:szCs w:val="22"/>
          <w:lang w:val="sr-Cyrl-RS" w:eastAsia="sr-Latn-CS"/>
        </w:rPr>
        <w:t xml:space="preserve"> и трошкова редовног одржавања), повећање амортизације усљед планиране инвестиционе изргадње, повећање трошкова камата. На остварен приход негативно може утицати и јачање конкуренције у снабдијевања од 01.01.2016. године.</w:t>
      </w:r>
      <w:r w:rsidRPr="00391F04">
        <w:rPr>
          <w:rFonts w:ascii="Arial" w:hAnsi="Arial" w:cs="Arial"/>
          <w:sz w:val="22"/>
          <w:szCs w:val="22"/>
          <w:lang w:eastAsia="sr-Latn-CS"/>
        </w:rPr>
        <w:t xml:space="preserve"> </w:t>
      </w:r>
    </w:p>
    <w:p w:rsidR="00487896" w:rsidRPr="003B57C7" w:rsidRDefault="00487896" w:rsidP="00487896">
      <w:pPr>
        <w:jc w:val="both"/>
        <w:rPr>
          <w:rFonts w:ascii="Arial" w:eastAsiaTheme="minorHAnsi" w:hAnsi="Arial" w:cs="Arial"/>
          <w:sz w:val="22"/>
          <w:szCs w:val="22"/>
          <w:highlight w:val="yellow"/>
          <w:lang w:val="sr-Cyrl-CS"/>
        </w:rPr>
      </w:pPr>
    </w:p>
    <w:p w:rsidR="00487896" w:rsidRPr="00487896" w:rsidRDefault="00487896" w:rsidP="00487896">
      <w:pPr>
        <w:jc w:val="both"/>
        <w:rPr>
          <w:rFonts w:ascii="Arial" w:eastAsiaTheme="minorHAnsi" w:hAnsi="Arial" w:cs="Arial"/>
          <w:sz w:val="22"/>
          <w:szCs w:val="22"/>
          <w:lang w:val="sr-Cyrl-CS"/>
        </w:rPr>
      </w:pPr>
      <w:r w:rsidRPr="00391F04">
        <w:rPr>
          <w:rFonts w:ascii="Arial" w:eastAsiaTheme="minorHAnsi" w:hAnsi="Arial" w:cs="Arial"/>
          <w:sz w:val="22"/>
          <w:szCs w:val="22"/>
          <w:lang w:val="sr-Cyrl-CS"/>
        </w:rPr>
        <w:t xml:space="preserve">Анализом и праћењем остварења </w:t>
      </w:r>
      <w:r w:rsidR="00391F04" w:rsidRPr="00391F04">
        <w:rPr>
          <w:rFonts w:ascii="Arial" w:eastAsiaTheme="minorHAnsi" w:hAnsi="Arial" w:cs="Arial"/>
          <w:sz w:val="22"/>
          <w:szCs w:val="22"/>
          <w:lang w:val="sr-Cyrl-CS"/>
        </w:rPr>
        <w:t>Ребаланса</w:t>
      </w:r>
      <w:r w:rsidRPr="00391F04">
        <w:rPr>
          <w:rFonts w:ascii="Arial" w:eastAsiaTheme="minorHAnsi" w:hAnsi="Arial" w:cs="Arial"/>
          <w:sz w:val="22"/>
          <w:szCs w:val="22"/>
          <w:lang w:val="sr-Cyrl-CS"/>
        </w:rPr>
        <w:t xml:space="preserve"> пословања утицај ових ризика може се неутрализовати.</w:t>
      </w:r>
    </w:p>
    <w:p w:rsidR="005A77A9" w:rsidRPr="005A77A9" w:rsidRDefault="005A77A9" w:rsidP="005A77A9">
      <w:pPr>
        <w:rPr>
          <w:rFonts w:ascii="Arial" w:hAnsi="Arial" w:cs="Arial"/>
          <w:sz w:val="22"/>
        </w:rPr>
      </w:pPr>
    </w:p>
    <w:p w:rsidR="00E62416" w:rsidRDefault="005A77A9">
      <w:pPr>
        <w:spacing w:after="200" w:line="276" w:lineRule="auto"/>
        <w:sectPr w:rsidR="00E62416" w:rsidSect="00524A0C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06" w:footer="706" w:gutter="0"/>
          <w:pgNumType w:start="1"/>
          <w:cols w:space="708"/>
          <w:titlePg/>
          <w:docGrid w:linePitch="360"/>
        </w:sectPr>
      </w:pPr>
      <w:r>
        <w:br w:type="page"/>
      </w:r>
    </w:p>
    <w:p w:rsidR="005A77A9" w:rsidRDefault="005A77A9">
      <w:pPr>
        <w:spacing w:after="200" w:line="276" w:lineRule="auto"/>
      </w:pPr>
    </w:p>
    <w:tbl>
      <w:tblPr>
        <w:tblpPr w:leftFromText="187" w:rightFromText="187" w:horzAnchor="margin" w:tblpXSpec="center" w:tblpY="2881"/>
        <w:tblW w:w="4368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378"/>
      </w:tblGrid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A77A9" w:rsidRPr="005A77A9" w:rsidTr="002E4771">
        <w:trPr>
          <w:trHeight w:val="1404"/>
        </w:trPr>
        <w:tc>
          <w:tcPr>
            <w:tcW w:w="8536" w:type="dxa"/>
          </w:tcPr>
          <w:p w:rsidR="005A77A9" w:rsidRPr="00C77C7E" w:rsidRDefault="005A77A9" w:rsidP="005A77A9">
            <w:pPr>
              <w:jc w:val="center"/>
              <w:rPr>
                <w:rFonts w:ascii="Cambria" w:hAnsi="Cambria"/>
                <w:b/>
                <w:sz w:val="40"/>
                <w:szCs w:val="80"/>
                <w:lang w:val="sr-Cyrl-RS"/>
              </w:rPr>
            </w:pPr>
            <w:r w:rsidRPr="00C77C7E">
              <w:rPr>
                <w:rFonts w:ascii="Cambria" w:hAnsi="Cambria"/>
                <w:b/>
                <w:sz w:val="52"/>
                <w:szCs w:val="80"/>
                <w:lang w:val="sr-Cyrl-RS"/>
              </w:rPr>
              <w:t>МЈЕРЕ</w:t>
            </w:r>
          </w:p>
          <w:p w:rsidR="005A77A9" w:rsidRPr="00C77C7E" w:rsidRDefault="005A77A9" w:rsidP="005A77A9">
            <w:pPr>
              <w:jc w:val="center"/>
              <w:rPr>
                <w:rFonts w:ascii="Cambria" w:hAnsi="Cambria"/>
                <w:sz w:val="40"/>
                <w:szCs w:val="80"/>
                <w:lang w:val="sr-Cyrl-RS"/>
              </w:rPr>
            </w:pPr>
            <w:r w:rsidRPr="00C77C7E">
              <w:rPr>
                <w:rFonts w:ascii="Cambria" w:hAnsi="Cambria"/>
                <w:sz w:val="40"/>
                <w:szCs w:val="80"/>
                <w:lang w:val="sr-Cyrl-RS"/>
              </w:rPr>
              <w:t>ЗЕДП''ЕЛЕКТРО-БИЈЕЉИНА'' а.д.</w:t>
            </w:r>
          </w:p>
          <w:p w:rsidR="005A77A9" w:rsidRPr="00C77C7E" w:rsidRDefault="005A77A9" w:rsidP="005A77A9">
            <w:pPr>
              <w:jc w:val="center"/>
              <w:rPr>
                <w:rFonts w:ascii="Cambria" w:hAnsi="Cambria"/>
                <w:sz w:val="36"/>
                <w:szCs w:val="80"/>
                <w:lang w:val="sr-Latn-RS"/>
              </w:rPr>
            </w:pPr>
            <w:r w:rsidRPr="00C77C7E">
              <w:rPr>
                <w:rFonts w:ascii="Cambria" w:hAnsi="Cambria"/>
                <w:sz w:val="36"/>
                <w:szCs w:val="80"/>
                <w:lang w:val="sr-Cyrl-RS"/>
              </w:rPr>
              <w:t>ЗА ОСТВАРЕЊЕ</w:t>
            </w:r>
          </w:p>
          <w:p w:rsidR="005A77A9" w:rsidRPr="00C77C7E" w:rsidRDefault="003B57C7" w:rsidP="005A77A9">
            <w:pPr>
              <w:jc w:val="center"/>
              <w:rPr>
                <w:rFonts w:ascii="Cambria" w:hAnsi="Cambria"/>
                <w:b/>
                <w:sz w:val="56"/>
                <w:szCs w:val="80"/>
                <w:lang w:val="sr-Cyrl-RS"/>
              </w:rPr>
            </w:pPr>
            <w:r w:rsidRPr="00C77C7E">
              <w:rPr>
                <w:rFonts w:ascii="Cambria" w:hAnsi="Cambria"/>
                <w:b/>
                <w:sz w:val="56"/>
                <w:szCs w:val="80"/>
                <w:lang w:val="sr-Cyrl-RS"/>
              </w:rPr>
              <w:t xml:space="preserve">РЕБАЛАНСА </w:t>
            </w:r>
            <w:r w:rsidR="005A77A9" w:rsidRPr="00C77C7E">
              <w:rPr>
                <w:rFonts w:ascii="Cambria" w:hAnsi="Cambria"/>
                <w:b/>
                <w:sz w:val="56"/>
                <w:szCs w:val="80"/>
                <w:lang w:val="sr-Cyrl-RS"/>
              </w:rPr>
              <w:t>ПЛАНА ПОСЛОВАЊА</w:t>
            </w:r>
          </w:p>
          <w:p w:rsidR="005A77A9" w:rsidRPr="00C77C7E" w:rsidRDefault="00EB72AE" w:rsidP="006D2207">
            <w:pPr>
              <w:jc w:val="center"/>
              <w:rPr>
                <w:rFonts w:ascii="Cambria" w:hAnsi="Cambria"/>
                <w:color w:val="4F81BD"/>
                <w:sz w:val="80"/>
                <w:szCs w:val="80"/>
                <w:lang w:val="sr-Cyrl-RS"/>
              </w:rPr>
            </w:pPr>
            <w:r w:rsidRPr="00C77C7E">
              <w:rPr>
                <w:rFonts w:ascii="Cambria" w:hAnsi="Cambria"/>
                <w:sz w:val="36"/>
                <w:szCs w:val="80"/>
                <w:lang w:val="sr-Cyrl-RS"/>
              </w:rPr>
              <w:t>за 201</w:t>
            </w:r>
            <w:r w:rsidR="00C161F7" w:rsidRPr="00C77C7E">
              <w:rPr>
                <w:rFonts w:ascii="Cambria" w:hAnsi="Cambria"/>
                <w:sz w:val="36"/>
                <w:szCs w:val="80"/>
              </w:rPr>
              <w:t>8</w:t>
            </w:r>
            <w:r w:rsidR="005A77A9" w:rsidRPr="00C77C7E">
              <w:rPr>
                <w:rFonts w:ascii="Cambria" w:hAnsi="Cambria"/>
                <w:sz w:val="36"/>
                <w:szCs w:val="80"/>
                <w:lang w:val="sr-Cyrl-RS"/>
              </w:rPr>
              <w:t>. годину</w:t>
            </w: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C77C7E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5A77A9" w:rsidRPr="005A77A9" w:rsidTr="002E4771">
        <w:trPr>
          <w:trHeight w:val="400"/>
        </w:trPr>
        <w:tc>
          <w:tcPr>
            <w:tcW w:w="8536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A77A9" w:rsidRDefault="005A77A9" w:rsidP="005A77A9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/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P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A77A9" w:rsidRDefault="005A77A9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C97F44" w:rsidRPr="00C97F44" w:rsidRDefault="00C97F44" w:rsidP="00C97F44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  <w:lang w:val="sr-Cyrl-CS" w:eastAsia="ar-SA"/>
        </w:rPr>
      </w:pPr>
      <w:bookmarkStart w:id="4" w:name="_Toc500762408"/>
      <w:bookmarkStart w:id="5" w:name="_Toc531599514"/>
      <w:bookmarkStart w:id="6" w:name="_Toc531603180"/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lastRenderedPageBreak/>
        <w:t>М Ј Е Р Е</w:t>
      </w:r>
      <w:bookmarkStart w:id="7" w:name="_Toc500762409"/>
      <w:bookmarkStart w:id="8" w:name="_Toc531599515"/>
      <w:bookmarkEnd w:id="4"/>
      <w:bookmarkEnd w:id="5"/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 xml:space="preserve"> </w:t>
      </w:r>
      <w:r w:rsidRPr="00C97F44">
        <w:rPr>
          <w:rFonts w:ascii="Arial" w:hAnsi="Arial" w:cs="Arial"/>
          <w:b/>
          <w:sz w:val="22"/>
          <w:szCs w:val="22"/>
          <w:lang w:val="sr-Cyrl-CS" w:eastAsia="ar-SA"/>
        </w:rPr>
        <w:t xml:space="preserve"> </w:t>
      </w:r>
    </w:p>
    <w:p w:rsidR="00C97F44" w:rsidRPr="00C97F44" w:rsidRDefault="00C97F44" w:rsidP="00C97F44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  <w:lang w:val="sr-Cyrl-CS" w:eastAsia="ar-SA"/>
        </w:rPr>
      </w:pPr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>ЗЕДП „ЕЛЕКТРО-БИЈЕЉИНА“ А.Д. БИЈЕЉИНА</w:t>
      </w:r>
      <w:bookmarkStart w:id="9" w:name="_Toc500762410"/>
      <w:bookmarkStart w:id="10" w:name="_Toc531599516"/>
      <w:bookmarkEnd w:id="7"/>
      <w:bookmarkEnd w:id="8"/>
    </w:p>
    <w:p w:rsidR="00C97F44" w:rsidRPr="00C97F44" w:rsidRDefault="00C97F44" w:rsidP="00C97F44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  <w:lang w:val="sr-Cyrl-CS" w:eastAsia="ar-SA"/>
        </w:rPr>
      </w:pPr>
      <w:r w:rsidRPr="00C97F44">
        <w:rPr>
          <w:rFonts w:ascii="Arial" w:hAnsi="Arial" w:cs="Arial"/>
          <w:b/>
          <w:sz w:val="22"/>
          <w:szCs w:val="22"/>
          <w:lang w:val="sr-Cyrl-CS" w:eastAsia="ar-SA"/>
        </w:rPr>
        <w:t xml:space="preserve"> </w:t>
      </w:r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>ЗА ОСТВАРЕЊЕ</w:t>
      </w:r>
      <w:r w:rsidRPr="00C97F44">
        <w:rPr>
          <w:rFonts w:ascii="Arial" w:hAnsi="Arial" w:cs="Arial"/>
          <w:b/>
          <w:sz w:val="22"/>
          <w:szCs w:val="22"/>
          <w:lang w:val="sr-Cyrl-CS" w:eastAsia="ar-SA"/>
        </w:rPr>
        <w:t xml:space="preserve"> </w:t>
      </w:r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>РЕБАЛАНСА ПЛАНА ПОСЛОВАЊА</w:t>
      </w:r>
      <w:bookmarkStart w:id="11" w:name="_Toc500762411"/>
      <w:bookmarkStart w:id="12" w:name="_Toc531599517"/>
      <w:bookmarkEnd w:id="9"/>
      <w:bookmarkEnd w:id="10"/>
      <w:r w:rsidRPr="00C97F44">
        <w:rPr>
          <w:rFonts w:ascii="Arial" w:hAnsi="Arial" w:cs="Arial"/>
          <w:b/>
          <w:sz w:val="22"/>
          <w:szCs w:val="22"/>
          <w:lang w:val="sr-Cyrl-CS" w:eastAsia="ar-SA"/>
        </w:rPr>
        <w:t xml:space="preserve"> </w:t>
      </w:r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>ЗА</w:t>
      </w:r>
    </w:p>
    <w:p w:rsidR="00C97F44" w:rsidRPr="00C97F44" w:rsidRDefault="00C97F44" w:rsidP="00C97F44">
      <w:pPr>
        <w:keepNext/>
        <w:ind w:left="360"/>
        <w:jc w:val="center"/>
        <w:outlineLvl w:val="0"/>
        <w:rPr>
          <w:rFonts w:ascii="Arial" w:hAnsi="Arial" w:cs="Arial"/>
          <w:b/>
          <w:sz w:val="22"/>
          <w:szCs w:val="22"/>
          <w:lang w:val="sr-Cyrl-CS" w:eastAsia="ar-SA"/>
        </w:rPr>
      </w:pPr>
      <w:r w:rsidRPr="00C97F44">
        <w:rPr>
          <w:rFonts w:ascii="Arial" w:hAnsi="Arial" w:cs="Arial"/>
          <w:b/>
          <w:sz w:val="22"/>
          <w:szCs w:val="22"/>
          <w:lang w:val="sr-Cyrl-BA" w:eastAsia="ar-SA"/>
        </w:rPr>
        <w:t xml:space="preserve"> 2018. ГОДИНУ</w:t>
      </w:r>
      <w:bookmarkEnd w:id="6"/>
      <w:bookmarkEnd w:id="11"/>
      <w:bookmarkEnd w:id="12"/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right="29"/>
        <w:jc w:val="both"/>
        <w:rPr>
          <w:rFonts w:ascii="Arial" w:hAnsi="Arial" w:cs="Arial"/>
          <w:sz w:val="22"/>
          <w:szCs w:val="22"/>
          <w:highlight w:val="yellow"/>
          <w:lang w:val="sr-Cyrl-RS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Наставити активности, у планираном периоду, на инвестирању у дистрибутивним предузећима у изградњу нове и реконструкцију постојеће електродистрибутивне мреже и трафостаница, уређење и модернизацију мјерних мјеста, те набавку механизације и опреме неопходне за извршавање редовних активности, а у циљу квалитетнијег снабдијевања потрошача електричном енергијом и смањења дистрибутивних губитака;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Носилац активности: Управа предузећа</w:t>
      </w: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Провођење одређених планираних активности у оквиру система Електропривреде Републике Српске у циљу ефикаснијег рада и унапређења пословања</w:t>
      </w:r>
      <w:r w:rsidRPr="00C97F44">
        <w:rPr>
          <w:rFonts w:ascii="Arial" w:hAnsi="Arial" w:cs="Arial"/>
          <w:sz w:val="22"/>
          <w:szCs w:val="22"/>
          <w:lang w:val="sr-Cyrl-BA"/>
        </w:rPr>
        <w:t>, уз осавремењавање производних и дистрибутивних капацитета</w:t>
      </w:r>
      <w:r w:rsidRPr="00C97F44">
        <w:rPr>
          <w:rFonts w:ascii="Arial" w:hAnsi="Arial" w:cs="Arial"/>
          <w:sz w:val="22"/>
          <w:szCs w:val="22"/>
          <w:lang w:val="sr-Cyrl-CS"/>
        </w:rPr>
        <w:t>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Носилац активности: Надзорни одбор, Одбор за ревизију и Управа предузећа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Рок: континуирано </w:t>
      </w: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</w:rPr>
        <w:t>Радити на сагледавању потреба за развојем информационог система у дистрибутивним предузећима, којима ће се дистрибутивна предузећа оспособити за обављање послова на отвореном тржишту електричне енергије, у смислу пружања информација снабдјевачима квалификованих купаца и провођења поступка промјене снабдјевача.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Рок: крај 201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8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. године</w:t>
      </w: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Доследно имплементирати Јединствени оперативни план за смањење дистрибутивних губитака на ребалансирани ниво за 201</w:t>
      </w:r>
      <w:r w:rsidRPr="00C97F44">
        <w:rPr>
          <w:rFonts w:ascii="Arial" w:hAnsi="Arial" w:cs="Arial"/>
          <w:b/>
          <w:bCs/>
          <w:i/>
          <w:iCs/>
          <w:sz w:val="22"/>
          <w:szCs w:val="22"/>
        </w:rPr>
        <w:t>8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. годину (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1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0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ru-RU"/>
        </w:rPr>
        <w:t>,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67</w:t>
      </w: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%) у циљу  њиховог даљег смањења на технички прихватљив ниво;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bCs/>
          <w:i/>
          <w:iCs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bCs/>
          <w:i/>
          <w:iCs/>
          <w:sz w:val="22"/>
          <w:szCs w:val="22"/>
          <w:lang w:val="sr-Cyrl-CS"/>
        </w:rPr>
        <w:t>Носилац активности: Упраае предузећа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Анализирати и размотрити </w:t>
      </w:r>
      <w:r w:rsidRPr="00C97F44">
        <w:rPr>
          <w:rFonts w:ascii="Arial" w:hAnsi="Arial" w:cs="Arial"/>
          <w:sz w:val="22"/>
          <w:szCs w:val="22"/>
          <w:lang w:val="sr-Cyrl-BA"/>
        </w:rPr>
        <w:t>(</w:t>
      </w:r>
      <w:r w:rsidRPr="00C97F44">
        <w:rPr>
          <w:rFonts w:ascii="Arial" w:hAnsi="Arial" w:cs="Arial"/>
          <w:sz w:val="22"/>
          <w:szCs w:val="22"/>
          <w:lang w:val="sr-Cyrl-CS"/>
        </w:rPr>
        <w:t>на скупштинама акционара</w:t>
      </w:r>
      <w:r w:rsidRPr="00C97F44">
        <w:rPr>
          <w:rFonts w:ascii="Arial" w:hAnsi="Arial" w:cs="Arial"/>
          <w:sz w:val="22"/>
          <w:szCs w:val="22"/>
          <w:lang w:val="sr-Cyrl-BA"/>
        </w:rPr>
        <w:t>)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неопходност исплате донација  из потврђене добити предузећа, након издвајања у законске резерве и статутарне и вршити претварање добити у капитал предузећа, односно приоритетно за покриће акумулираног губитка уколико ЗП има непокривени губитак из ранијих година;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Носилац активности: Управа предузећа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BA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Рок: након усвајања </w:t>
      </w:r>
      <w:r w:rsidRPr="00C97F44">
        <w:rPr>
          <w:rFonts w:ascii="Arial" w:hAnsi="Arial" w:cs="Arial"/>
          <w:b/>
          <w:sz w:val="22"/>
          <w:szCs w:val="22"/>
          <w:lang w:val="sr-Cyrl-BA"/>
        </w:rPr>
        <w:t>Извјештаја Н</w:t>
      </w:r>
      <w:r w:rsidRPr="00C97F44">
        <w:rPr>
          <w:rFonts w:ascii="Arial" w:hAnsi="Arial" w:cs="Arial"/>
          <w:b/>
          <w:sz w:val="22"/>
          <w:szCs w:val="22"/>
          <w:lang w:val="sr-Cyrl-CS"/>
        </w:rPr>
        <w:t>езависн</w:t>
      </w:r>
      <w:r w:rsidRPr="00C97F44">
        <w:rPr>
          <w:rFonts w:ascii="Arial" w:hAnsi="Arial" w:cs="Arial"/>
          <w:b/>
          <w:sz w:val="22"/>
          <w:szCs w:val="22"/>
          <w:lang w:val="sr-Cyrl-BA"/>
        </w:rPr>
        <w:t>ог</w:t>
      </w: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 ревиз</w:t>
      </w:r>
      <w:r w:rsidRPr="00C97F44">
        <w:rPr>
          <w:rFonts w:ascii="Arial" w:hAnsi="Arial" w:cs="Arial"/>
          <w:b/>
          <w:sz w:val="22"/>
          <w:szCs w:val="22"/>
          <w:lang w:val="sr-Cyrl-BA"/>
        </w:rPr>
        <w:t>ора</w:t>
      </w: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 финансијск</w:t>
      </w:r>
      <w:r w:rsidRPr="00C97F44">
        <w:rPr>
          <w:rFonts w:ascii="Arial" w:hAnsi="Arial" w:cs="Arial"/>
          <w:b/>
          <w:sz w:val="22"/>
          <w:szCs w:val="22"/>
          <w:lang w:val="sr-Cyrl-BA"/>
        </w:rPr>
        <w:t>их</w:t>
      </w: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 извјештаја о пословању</w:t>
      </w:r>
      <w:r w:rsidRPr="00C97F44">
        <w:rPr>
          <w:rFonts w:ascii="Arial" w:hAnsi="Arial" w:cs="Arial"/>
          <w:b/>
          <w:sz w:val="22"/>
          <w:szCs w:val="22"/>
          <w:lang w:val="sr-Cyrl-BA"/>
        </w:rPr>
        <w:t xml:space="preserve"> МХ „ЕРС"</w:t>
      </w: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Рестр</w:t>
      </w:r>
      <w:r w:rsidRPr="00C97F44">
        <w:rPr>
          <w:rFonts w:ascii="Arial" w:hAnsi="Arial" w:cs="Arial"/>
          <w:sz w:val="22"/>
          <w:szCs w:val="22"/>
          <w:lang w:val="sr-Cyrl-BA"/>
        </w:rPr>
        <w:t>и</w:t>
      </w:r>
      <w:r w:rsidRPr="00C97F44">
        <w:rPr>
          <w:rFonts w:ascii="Arial" w:hAnsi="Arial" w:cs="Arial"/>
          <w:sz w:val="22"/>
          <w:szCs w:val="22"/>
          <w:lang w:val="sr-Cyrl-CS"/>
        </w:rPr>
        <w:t>ктивно се односити према будућем кредитном задужењу;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Обезбједити провођење свих мјера у циљу остварења потпуне наплате електричне енергије код купаца (100%) и реализација закључених уговора о репрограму дуга крајњих купаца из ранијег периода;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Носилац активности: Управе предузећа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lastRenderedPageBreak/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Рационално располагати имовином, утврдити некурентне залихе, као и старосну структуру залиха. Прецизно пратити документацију која тачно утврђује уградњу на интервентним позицијама и поврат замијењених дијелова. Увести информациони систем у складиште, због добијања тачне, свеобухватне и благовремене информације о стању робе у складишту. Извршити продају застарјелих залиха робе  и основних средстава која нису у функцији и гдје  економски није  оправдано оспособљавати исте;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Носилац активности: Управе предузећа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Плате запослених</w:t>
      </w:r>
      <w:r w:rsidRPr="00C97F44">
        <w:rPr>
          <w:rFonts w:ascii="Arial" w:hAnsi="Arial" w:cs="Arial"/>
          <w:sz w:val="22"/>
          <w:szCs w:val="22"/>
        </w:rPr>
        <w:t xml:space="preserve"> и остала лична примања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C97F44">
        <w:rPr>
          <w:rFonts w:ascii="Arial" w:hAnsi="Arial" w:cs="Arial"/>
          <w:sz w:val="22"/>
          <w:szCs w:val="22"/>
          <w:lang w:val="sr-Cyrl-BA"/>
        </w:rPr>
        <w:t>реално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планирати у складу са Новим Колективним уговором радника МХ“ Електропривреде РС“, са пуном  примјеном од 01.01.2018. године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Прековремене </w:t>
      </w:r>
      <w:r w:rsidRPr="00C97F44">
        <w:rPr>
          <w:rFonts w:ascii="Arial" w:hAnsi="Arial" w:cs="Arial"/>
          <w:sz w:val="22"/>
          <w:szCs w:val="22"/>
        </w:rPr>
        <w:t xml:space="preserve">и интервентне </w:t>
      </w:r>
      <w:r w:rsidRPr="00C97F44">
        <w:rPr>
          <w:rFonts w:ascii="Arial" w:hAnsi="Arial" w:cs="Arial"/>
          <w:sz w:val="22"/>
          <w:szCs w:val="22"/>
          <w:lang w:val="sr-Cyrl-CS"/>
        </w:rPr>
        <w:t>сате свести на неопходне за одржавање редовне производње и дистрибуције. Елиминисати прековремени рад у администрацији;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Приликом запошљавања нових радника поштоваће се Закључак Владе РС број 04/1-012-2-825/15 од 23.04.2015. године (пријем нових радника вршиће се искључиво према потребама обављања основне дјелатности предузећа, а уз консултације са ресорним министарством и Владом РС). </w:t>
      </w:r>
      <w:r w:rsidRPr="00C97F44">
        <w:rPr>
          <w:rFonts w:ascii="Arial" w:hAnsi="Arial" w:cs="Arial"/>
          <w:sz w:val="22"/>
          <w:szCs w:val="22"/>
          <w:lang w:val="sr-Cyrl-RS"/>
        </w:rPr>
        <w:t>Запошљавање радника на одређено вријеме, које значајно оптерећује трошкове пословања, свести на неопходан минимум и о свим промјенама по овом питању тражити претходну сагласност.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У планском периоду покушати смањ</w:t>
      </w:r>
      <w:r w:rsidRPr="00C97F44">
        <w:rPr>
          <w:rFonts w:ascii="Arial" w:hAnsi="Arial" w:cs="Arial"/>
          <w:sz w:val="22"/>
          <w:szCs w:val="22"/>
          <w:lang w:val="sr-Cyrl-BA"/>
        </w:rPr>
        <w:t xml:space="preserve">ити </w:t>
      </w:r>
      <w:r w:rsidRPr="00C97F44">
        <w:rPr>
          <w:rFonts w:ascii="Arial" w:hAnsi="Arial" w:cs="Arial"/>
          <w:sz w:val="22"/>
          <w:szCs w:val="22"/>
          <w:lang w:val="sr-Cyrl-CS"/>
        </w:rPr>
        <w:t>трошков</w:t>
      </w:r>
      <w:r w:rsidRPr="00C97F44">
        <w:rPr>
          <w:rFonts w:ascii="Arial" w:hAnsi="Arial" w:cs="Arial"/>
          <w:sz w:val="22"/>
          <w:szCs w:val="22"/>
          <w:lang w:val="sr-Cyrl-BA"/>
        </w:rPr>
        <w:t>е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репрезентације, трошкове службених путовања, ангажовања запослених на одређено вријеме и по уговору о дјелу,</w:t>
      </w:r>
      <w:r w:rsidRPr="00C97F44">
        <w:rPr>
          <w:rFonts w:ascii="Arial" w:hAnsi="Arial" w:cs="Arial"/>
          <w:sz w:val="22"/>
          <w:szCs w:val="22"/>
          <w:lang w:val="sr-Cyrl-BA"/>
        </w:rPr>
        <w:t xml:space="preserve"> трошкове </w:t>
      </w:r>
      <w:r w:rsidRPr="00C97F44">
        <w:rPr>
          <w:rFonts w:ascii="Arial" w:hAnsi="Arial" w:cs="Arial"/>
          <w:sz w:val="22"/>
          <w:szCs w:val="22"/>
          <w:lang w:val="sr-Cyrl-CS"/>
        </w:rPr>
        <w:t>канцеларијског материјала, семинара и курсева, коришћење службених телефона, те остал</w:t>
      </w:r>
      <w:r w:rsidRPr="00C97F44">
        <w:rPr>
          <w:rFonts w:ascii="Arial" w:hAnsi="Arial" w:cs="Arial"/>
          <w:sz w:val="22"/>
          <w:szCs w:val="22"/>
          <w:lang w:val="sr-Cyrl-BA"/>
        </w:rPr>
        <w:t xml:space="preserve">е </w:t>
      </w:r>
      <w:r w:rsidRPr="00C97F44">
        <w:rPr>
          <w:rFonts w:ascii="Arial" w:hAnsi="Arial" w:cs="Arial"/>
          <w:sz w:val="22"/>
          <w:szCs w:val="22"/>
          <w:lang w:val="sr-Cyrl-CS"/>
        </w:rPr>
        <w:t>трошков</w:t>
      </w:r>
      <w:r w:rsidRPr="00C97F44">
        <w:rPr>
          <w:rFonts w:ascii="Arial" w:hAnsi="Arial" w:cs="Arial"/>
          <w:sz w:val="22"/>
          <w:szCs w:val="22"/>
          <w:lang w:val="sr-Cyrl-BA"/>
        </w:rPr>
        <w:t>е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који нису директно везани за дјелатност;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Ангажовање трећих лица вршити само за оне </w:t>
      </w:r>
      <w:r w:rsidRPr="00C97F44">
        <w:rPr>
          <w:rFonts w:ascii="Arial" w:hAnsi="Arial" w:cs="Arial"/>
          <w:sz w:val="22"/>
          <w:szCs w:val="22"/>
          <w:lang w:val="sr-Cyrl-BA"/>
        </w:rPr>
        <w:t xml:space="preserve">повремене и привремене послове, као и послове који се сврставају у ауторска дјела и сличне послове </w:t>
      </w:r>
      <w:r w:rsidRPr="00C97F44">
        <w:rPr>
          <w:rFonts w:ascii="Arial" w:hAnsi="Arial" w:cs="Arial"/>
          <w:sz w:val="22"/>
          <w:szCs w:val="22"/>
          <w:lang w:val="sr-Cyrl-CS"/>
        </w:rPr>
        <w:t>за које немамо властите ресурсе и знања;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Смањити издатке на пружање услуга користећи сопствене ресурсе, како људске тако и материјалне;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Извршити анализу плаћања накнада члановима свих </w:t>
      </w:r>
      <w:r w:rsidRPr="00C97F44">
        <w:rPr>
          <w:rFonts w:ascii="Arial" w:hAnsi="Arial" w:cs="Arial"/>
          <w:sz w:val="22"/>
          <w:szCs w:val="22"/>
          <w:lang w:val="sr-Cyrl-BA"/>
        </w:rPr>
        <w:t xml:space="preserve">радних </w:t>
      </w:r>
      <w:r w:rsidRPr="00C97F44">
        <w:rPr>
          <w:rFonts w:ascii="Arial" w:hAnsi="Arial" w:cs="Arial"/>
          <w:sz w:val="22"/>
          <w:szCs w:val="22"/>
          <w:lang w:val="sr-Cyrl-CS"/>
        </w:rPr>
        <w:t>тијела и комисија те изврши</w:t>
      </w:r>
      <w:r w:rsidRPr="00C97F44">
        <w:rPr>
          <w:rFonts w:ascii="Arial" w:hAnsi="Arial" w:cs="Arial"/>
          <w:sz w:val="22"/>
          <w:szCs w:val="22"/>
          <w:lang w:val="sr-Cyrl-BA"/>
        </w:rPr>
        <w:t>ти</w:t>
      </w:r>
      <w:r w:rsidRPr="00C97F44">
        <w:rPr>
          <w:rFonts w:ascii="Arial" w:hAnsi="Arial" w:cs="Arial"/>
          <w:sz w:val="22"/>
          <w:szCs w:val="22"/>
          <w:lang w:val="sr-Cyrl-CS"/>
        </w:rPr>
        <w:t xml:space="preserve"> прилагођавање тих накнада економској ситуацији;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lastRenderedPageBreak/>
        <w:t xml:space="preserve">Носилац активности: Управа предузећа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numPr>
          <w:ilvl w:val="0"/>
          <w:numId w:val="35"/>
        </w:numPr>
        <w:ind w:left="360" w:hanging="270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 xml:space="preserve">Набавке вршити у складу са Законом о јавним набавкама (Службени Гласник БиХ број 39 од 19.05.2014. године), подзаконским и интерним актима предузећа;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Подносиоци захтјева за набавку дужни су да воде рачуна да подносе захтјеве за набавку благовремено, водећи рачуна о стању залиха и предложеном поступку набавке и прописаним роковима за његову реализацију, како би се обезбиједило континуирано снабдјевање робама, услугама и радовима, уз најниже трошкове;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Подносиоци захтјева за набавку дужни су да одреде техничке стандарде које требају испуњавати средства – робе / услуге / радови, дефинисати количине и дати основне и минималне техничке карактеристике средстава – роба / услуга / радова, у складу са усвојеним стандардима - политиком Мјешовитог Холдинга “Електропривреда Републике Српске";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Подносиоци захтјева за набавку дужни су да размотре могућности заједничке јавне набавке, како би се обезбједило смањење цијена, односно укупно смањење трошкова и обезбједило ефикасније и економичније провођење поступака набавки на нивоу Матичног предузећа и Мјешовитог Холдинга “Електропривреда Републике Српске";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Прије доношења одлуке о покретању поступка јавне набавке обавезно извршити провјеру процијењене вриједности набавке;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За цијене свих берзанских роба обавезно у тендерске документе дефинисати правилима о промјенљивости цијене;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sz w:val="22"/>
          <w:szCs w:val="22"/>
          <w:lang w:val="sr-Cyrl-CS"/>
        </w:rPr>
      </w:pPr>
      <w:r w:rsidRPr="00C97F44">
        <w:rPr>
          <w:rFonts w:ascii="Arial" w:hAnsi="Arial" w:cs="Arial"/>
          <w:sz w:val="22"/>
          <w:szCs w:val="22"/>
          <w:lang w:val="sr-Cyrl-CS"/>
        </w:rPr>
        <w:t>-</w:t>
      </w:r>
      <w:r w:rsidRPr="00C97F44">
        <w:rPr>
          <w:rFonts w:ascii="Arial" w:hAnsi="Arial" w:cs="Arial"/>
          <w:sz w:val="22"/>
          <w:szCs w:val="22"/>
          <w:lang w:val="sr-Cyrl-CS"/>
        </w:rPr>
        <w:tab/>
        <w:t>Подносиоци захтјева за набавку и Дирекција за комерцијалне послове дужни су да прате реализацију закључених уговора, посебно са аспекта квантитета и квалитета испоруке уговорених роба, извршења услуга или радова, благовремености испоруке/извршења предмета уговора, примјене уговорених цијена, те добављачу доставити писане опомене и предложити примјену уговорних казни, активирање датих гаранција и примјену других инструмената ради заштите интереса Мјешовитог Холдинга “Електропривреда Републике Српске".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 xml:space="preserve">Носилац активности: Управа предузећа заједно са Надзорним одбором и Одбором за ревизију 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  <w:r w:rsidRPr="00C97F44">
        <w:rPr>
          <w:rFonts w:ascii="Arial" w:hAnsi="Arial" w:cs="Arial"/>
          <w:b/>
          <w:sz w:val="22"/>
          <w:szCs w:val="22"/>
          <w:lang w:val="sr-Cyrl-CS"/>
        </w:rPr>
        <w:t>Рок: континуирано</w:t>
      </w: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left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ind w:firstLine="284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Pr="00C97F44" w:rsidRDefault="00C97F44" w:rsidP="00C97F44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97F44" w:rsidRDefault="00C97F44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C97F44" w:rsidRDefault="00C97F44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C97F44" w:rsidRDefault="00C97F44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C97F44" w:rsidRPr="005A77A9" w:rsidRDefault="00C97F44" w:rsidP="005A77A9">
      <w:pPr>
        <w:rPr>
          <w:rFonts w:ascii="Arial" w:hAnsi="Arial" w:cs="Arial"/>
          <w:b/>
          <w:bCs/>
          <w:sz w:val="28"/>
          <w:lang w:val="sr-Cyrl-RS"/>
        </w:rPr>
      </w:pPr>
    </w:p>
    <w:p w:rsidR="0054013A" w:rsidRPr="00C161F7" w:rsidRDefault="0054013A" w:rsidP="0054013A">
      <w:pPr>
        <w:jc w:val="both"/>
        <w:rPr>
          <w:rFonts w:ascii="Arial" w:hAnsi="Arial" w:cs="Arial"/>
          <w:sz w:val="22"/>
          <w:szCs w:val="22"/>
          <w:highlight w:val="yellow"/>
          <w:lang w:val="sr-Cyrl-BA"/>
        </w:rPr>
      </w:pPr>
    </w:p>
    <w:p w:rsidR="0054013A" w:rsidRPr="00C161F7" w:rsidRDefault="001E1663" w:rsidP="001E1663">
      <w:pPr>
        <w:kinsoku w:val="0"/>
        <w:overflowPunct w:val="0"/>
        <w:autoSpaceDE w:val="0"/>
        <w:autoSpaceDN w:val="0"/>
        <w:adjustRightInd w:val="0"/>
        <w:ind w:right="29"/>
        <w:jc w:val="center"/>
        <w:rPr>
          <w:rFonts w:ascii="Arial" w:hAnsi="Arial" w:cs="Arial"/>
          <w:sz w:val="22"/>
          <w:szCs w:val="22"/>
          <w:highlight w:val="yellow"/>
          <w:lang w:val="sr-Cyrl-RS"/>
        </w:rPr>
      </w:pPr>
      <w:bookmarkStart w:id="13" w:name="Саопштење_за_јавност_-_Правилник_о_снабд"/>
      <w:bookmarkStart w:id="14" w:name="_Toc531599518"/>
      <w:bookmarkStart w:id="15" w:name="_Toc531603181"/>
      <w:bookmarkEnd w:id="13"/>
      <w:r w:rsidRPr="007E7B62">
        <w:rPr>
          <w:b/>
        </w:rPr>
        <w:lastRenderedPageBreak/>
        <w:t>ОСНОВНИ РЕБАЛАНСИРАНИ ПОДАЦИ ЗА 2018. ГОДИНУ</w:t>
      </w:r>
      <w:bookmarkEnd w:id="14"/>
      <w:bookmarkEnd w:id="15"/>
    </w:p>
    <w:p w:rsidR="0054013A" w:rsidRPr="00C161F7" w:rsidRDefault="0054013A" w:rsidP="0054013A">
      <w:pPr>
        <w:kinsoku w:val="0"/>
        <w:overflowPunct w:val="0"/>
        <w:autoSpaceDE w:val="0"/>
        <w:autoSpaceDN w:val="0"/>
        <w:adjustRightInd w:val="0"/>
        <w:ind w:left="360" w:right="29" w:firstLine="12"/>
        <w:jc w:val="both"/>
        <w:rPr>
          <w:rFonts w:ascii="Arial" w:hAnsi="Arial" w:cs="Arial"/>
          <w:sz w:val="22"/>
          <w:szCs w:val="22"/>
          <w:highlight w:val="yellow"/>
          <w:lang w:val="sr-Cyrl-RS"/>
        </w:rPr>
      </w:pPr>
    </w:p>
    <w:p w:rsidR="005A77A9" w:rsidRPr="002739EA" w:rsidRDefault="00FC75A5" w:rsidP="00FC75A5">
      <w:pPr>
        <w:numPr>
          <w:ilvl w:val="0"/>
          <w:numId w:val="15"/>
        </w:numPr>
        <w:tabs>
          <w:tab w:val="clear" w:pos="900"/>
          <w:tab w:val="num" w:pos="360"/>
        </w:tabs>
        <w:ind w:left="360"/>
        <w:jc w:val="both"/>
        <w:rPr>
          <w:rFonts w:ascii="Arial" w:eastAsiaTheme="minorHAnsi" w:hAnsi="Arial" w:cs="Arial"/>
          <w:sz w:val="20"/>
          <w:szCs w:val="20"/>
        </w:rPr>
      </w:pPr>
      <w:bookmarkStart w:id="16" w:name="_Toc500767350"/>
      <w:r w:rsidRPr="002739EA">
        <w:rPr>
          <w:rFonts w:ascii="Arial" w:hAnsi="Arial" w:cs="Arial"/>
          <w:sz w:val="20"/>
          <w:szCs w:val="20"/>
        </w:rPr>
        <w:t xml:space="preserve">Табела </w:t>
      </w:r>
      <w:r w:rsidRPr="002739EA">
        <w:rPr>
          <w:rFonts w:ascii="Arial" w:hAnsi="Arial" w:cs="Arial"/>
          <w:sz w:val="20"/>
          <w:szCs w:val="20"/>
        </w:rPr>
        <w:fldChar w:fldCharType="begin"/>
      </w:r>
      <w:r w:rsidRPr="002739EA">
        <w:rPr>
          <w:rFonts w:ascii="Arial" w:hAnsi="Arial" w:cs="Arial"/>
          <w:sz w:val="20"/>
          <w:szCs w:val="20"/>
        </w:rPr>
        <w:instrText xml:space="preserve"> SEQ Табела \* ARABIC </w:instrText>
      </w:r>
      <w:r w:rsidRPr="002739EA">
        <w:rPr>
          <w:rFonts w:ascii="Arial" w:hAnsi="Arial" w:cs="Arial"/>
          <w:sz w:val="20"/>
          <w:szCs w:val="20"/>
        </w:rPr>
        <w:fldChar w:fldCharType="separate"/>
      </w:r>
      <w:r w:rsidR="00322822" w:rsidRPr="002739EA">
        <w:rPr>
          <w:rFonts w:ascii="Arial" w:hAnsi="Arial" w:cs="Arial"/>
          <w:noProof/>
          <w:sz w:val="20"/>
          <w:szCs w:val="20"/>
        </w:rPr>
        <w:t>1</w:t>
      </w:r>
      <w:r w:rsidRPr="002739EA">
        <w:rPr>
          <w:rFonts w:ascii="Arial" w:hAnsi="Arial" w:cs="Arial"/>
          <w:sz w:val="20"/>
          <w:szCs w:val="20"/>
        </w:rPr>
        <w:fldChar w:fldCharType="end"/>
      </w:r>
      <w:r w:rsidRPr="002739EA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2739EA">
        <w:rPr>
          <w:rFonts w:ascii="Arial" w:eastAsiaTheme="minorHAnsi" w:hAnsi="Arial" w:cs="Arial"/>
          <w:sz w:val="20"/>
          <w:szCs w:val="20"/>
          <w:lang w:val="sr-Cyrl-RS"/>
        </w:rPr>
        <w:t>Осно</w:t>
      </w:r>
      <w:r w:rsidR="002739EA">
        <w:rPr>
          <w:rFonts w:ascii="Arial" w:eastAsiaTheme="minorHAnsi" w:hAnsi="Arial" w:cs="Arial"/>
          <w:sz w:val="20"/>
          <w:szCs w:val="20"/>
          <w:lang w:val="sr-Cyrl-RS"/>
        </w:rPr>
        <w:t>вни ребалансирани подаци за 201</w:t>
      </w:r>
      <w:r w:rsidR="002739EA">
        <w:rPr>
          <w:rFonts w:ascii="Arial" w:eastAsiaTheme="minorHAnsi" w:hAnsi="Arial" w:cs="Arial"/>
          <w:sz w:val="20"/>
          <w:szCs w:val="20"/>
        </w:rPr>
        <w:t>8</w:t>
      </w:r>
      <w:r w:rsidRPr="002739EA">
        <w:rPr>
          <w:rFonts w:ascii="Arial" w:eastAsiaTheme="minorHAnsi" w:hAnsi="Arial" w:cs="Arial"/>
          <w:sz w:val="20"/>
          <w:szCs w:val="20"/>
          <w:lang w:val="sr-Cyrl-RS"/>
        </w:rPr>
        <w:t xml:space="preserve">. </w:t>
      </w:r>
      <w:r w:rsidR="002739EA">
        <w:rPr>
          <w:rFonts w:ascii="Arial" w:eastAsiaTheme="minorHAnsi" w:hAnsi="Arial" w:cs="Arial"/>
          <w:sz w:val="20"/>
          <w:szCs w:val="20"/>
          <w:lang w:val="sr-Cyrl-CS"/>
        </w:rPr>
        <w:t>г</w:t>
      </w:r>
      <w:r w:rsidRPr="002739EA">
        <w:rPr>
          <w:rFonts w:ascii="Arial" w:eastAsiaTheme="minorHAnsi" w:hAnsi="Arial" w:cs="Arial"/>
          <w:sz w:val="20"/>
          <w:szCs w:val="20"/>
          <w:lang w:val="sr-Cyrl-RS"/>
        </w:rPr>
        <w:t>одину</w:t>
      </w:r>
      <w:bookmarkEnd w:id="16"/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55"/>
        <w:gridCol w:w="1530"/>
        <w:gridCol w:w="1350"/>
        <w:gridCol w:w="1436"/>
        <w:gridCol w:w="630"/>
        <w:gridCol w:w="724"/>
      </w:tblGrid>
      <w:tr w:rsidR="002739EA" w:rsidRPr="002739EA" w:rsidTr="00524A0C">
        <w:trPr>
          <w:trHeight w:val="855"/>
        </w:trPr>
        <w:tc>
          <w:tcPr>
            <w:tcW w:w="4155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  <w:t>ПОДАЦИ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  <w:t>ОСТВАРЕНО 2017.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  <w:t>ПЛАН 2018.</w:t>
            </w:r>
          </w:p>
        </w:tc>
        <w:tc>
          <w:tcPr>
            <w:tcW w:w="1436" w:type="dxa"/>
            <w:tcBorders>
              <w:top w:val="single" w:sz="12" w:space="0" w:color="auto"/>
              <w:left w:val="nil"/>
              <w:bottom w:val="nil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i/>
                <w:iCs/>
                <w:color w:val="244061"/>
                <w:sz w:val="20"/>
                <w:szCs w:val="20"/>
              </w:rPr>
              <w:t>РЕБАЛАНС  2018.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single" w:sz="8" w:space="0" w:color="BFBFBF"/>
            </w:tcBorders>
            <w:shd w:val="clear" w:color="auto" w:fill="auto"/>
            <w:textDirection w:val="btLr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  <w:t>Индекс      4/2</w:t>
            </w:r>
          </w:p>
        </w:tc>
        <w:tc>
          <w:tcPr>
            <w:tcW w:w="72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extDirection w:val="btLr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244061"/>
                <w:sz w:val="20"/>
                <w:szCs w:val="20"/>
              </w:rPr>
              <w:t>Индекс      4/3</w:t>
            </w:r>
          </w:p>
        </w:tc>
      </w:tr>
      <w:tr w:rsidR="002739EA" w:rsidRPr="002739EA" w:rsidTr="00524A0C">
        <w:trPr>
          <w:trHeight w:val="60"/>
        </w:trPr>
        <w:tc>
          <w:tcPr>
            <w:tcW w:w="4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2739EA" w:rsidRPr="002739EA" w:rsidTr="00524A0C">
        <w:trPr>
          <w:trHeight w:val="60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Бруто дистрибутивна потрошња (GWh)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820,86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825,09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825,85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739EA" w:rsidRPr="002739EA" w:rsidTr="00524A0C">
        <w:trPr>
          <w:trHeight w:val="60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Директни потрошач  (GWh)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97,67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84,39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97,16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Дистрибутивни губици  (GWh)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58,16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82,46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69,59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Проценат остварених губитака без 110 kV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8,04%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11,13%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9,45%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Проценат остварених губитака са 110 kV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7,09%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9,99%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8D4765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8,35</w:t>
            </w:r>
            <w:r w:rsidR="002739EA" w:rsidRPr="002739EA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8D4765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84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Нето дистрибутивна потрошња (GWh)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762,7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742,63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756,26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2739EA" w:rsidRPr="002739EA" w:rsidTr="00524A0C">
        <w:trPr>
          <w:trHeight w:val="330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Укупан приход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116.423.403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98.422.479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100.211.743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Пословни приходи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95.944.562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93.211.679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94.404.508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Приход од продаје електричне енергије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91.558.687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89.061.679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90.665.708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Остали пословни приход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4.385.875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4.150.000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3.738.800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Остали приход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17.718.609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2.010.000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3.091.351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Финансијски приход 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2.741.490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3.200.800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2.715.884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Укупни расход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115.542.311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97.404.738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99.941.904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103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Пословни расход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99.569.737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94.554.738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97.900.584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2739EA" w:rsidRPr="002739EA" w:rsidTr="00524A0C">
        <w:trPr>
          <w:trHeight w:val="52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Трошкови зарада, накнада зарада и остали лични расходи (КМ)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23.825.849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22.200.000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23.420.004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Трошкови производних услуга (КМ)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1.596.320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1.520.000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1.600.000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Трошкови енергије набављене од ЕРС-а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57.574.598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53.082.738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56.089.743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Нематеријални трошкови (КМ)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1.704.781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1.605.000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2.184.818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136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Остали расходи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14.871.837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2.250.000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1.141.280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BFBFBF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2739EA" w:rsidRPr="002739EA" w:rsidTr="00524A0C">
        <w:trPr>
          <w:trHeight w:val="315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Финансијски расходи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1.100.603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2739EA" w:rsidRPr="002739EA" w:rsidTr="00524A0C">
        <w:trPr>
          <w:trHeight w:val="330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Продајна цијена pf/kWh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11,933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11,939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11,932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2739EA" w:rsidRPr="002739EA" w:rsidTr="00524A0C">
        <w:trPr>
          <w:trHeight w:val="330"/>
        </w:trPr>
        <w:tc>
          <w:tcPr>
            <w:tcW w:w="415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добит/ Губитак (у КМ)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881.092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1.017.741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269.839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739EA" w:rsidRPr="002739EA" w:rsidRDefault="002739EA" w:rsidP="002739E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39E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</w:tr>
    </w:tbl>
    <w:p w:rsidR="00E62416" w:rsidRPr="00C161F7" w:rsidRDefault="005A77A9">
      <w:pPr>
        <w:spacing w:after="200" w:line="276" w:lineRule="auto"/>
        <w:rPr>
          <w:highlight w:val="yellow"/>
        </w:rPr>
        <w:sectPr w:rsidR="00E62416" w:rsidRPr="00C161F7" w:rsidSect="00524A0C">
          <w:type w:val="continuous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C161F7">
        <w:rPr>
          <w:highlight w:val="yellow"/>
        </w:rPr>
        <w:br w:type="page"/>
      </w:r>
    </w:p>
    <w:p w:rsidR="005A77A9" w:rsidRPr="00C161F7" w:rsidRDefault="005A77A9">
      <w:pPr>
        <w:spacing w:after="200" w:line="276" w:lineRule="auto"/>
        <w:rPr>
          <w:highlight w:val="yellow"/>
        </w:rPr>
      </w:pPr>
    </w:p>
    <w:tbl>
      <w:tblPr>
        <w:tblpPr w:leftFromText="187" w:rightFromText="187" w:vertAnchor="page" w:horzAnchor="margin" w:tblpY="4974"/>
        <w:tblW w:w="5109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799"/>
      </w:tblGrid>
      <w:tr w:rsidR="005A77A9" w:rsidRPr="00C161F7" w:rsidTr="002E4771">
        <w:trPr>
          <w:trHeight w:val="264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C161F7" w:rsidRDefault="005A77A9" w:rsidP="005A77A9">
            <w:pPr>
              <w:rPr>
                <w:rFonts w:ascii="Cambria" w:hAnsi="Cambria"/>
                <w:sz w:val="22"/>
                <w:szCs w:val="22"/>
                <w:highlight w:val="yellow"/>
                <w:lang w:eastAsia="ja-JP"/>
              </w:rPr>
            </w:pPr>
          </w:p>
        </w:tc>
      </w:tr>
      <w:tr w:rsidR="005A77A9" w:rsidRPr="00524A0C" w:rsidTr="002E4771">
        <w:trPr>
          <w:trHeight w:val="1005"/>
        </w:trPr>
        <w:tc>
          <w:tcPr>
            <w:tcW w:w="9800" w:type="dxa"/>
          </w:tcPr>
          <w:p w:rsidR="005A77A9" w:rsidRPr="00524A0C" w:rsidRDefault="001E3A76" w:rsidP="005A77A9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РЕБАЛАНС ЕЛЕКТРОЕНЕРГЕТСКОГ</w:t>
            </w:r>
            <w:r w:rsidR="005A77A9"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 xml:space="preserve"> БИЛАНС</w:t>
            </w:r>
            <w:r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А</w:t>
            </w:r>
            <w:r w:rsidR="005A77A9"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 xml:space="preserve"> </w:t>
            </w:r>
          </w:p>
          <w:p w:rsidR="005A77A9" w:rsidRPr="00524A0C" w:rsidRDefault="005A77A9" w:rsidP="00524A0C">
            <w:pPr>
              <w:jc w:val="center"/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</w:pPr>
            <w:r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за 201</w:t>
            </w:r>
            <w:r w:rsidR="00524A0C" w:rsidRPr="00524A0C">
              <w:rPr>
                <w:rFonts w:ascii="Cambria" w:hAnsi="Cambria"/>
                <w:b/>
                <w:color w:val="365F91"/>
                <w:sz w:val="44"/>
                <w:szCs w:val="80"/>
                <w:lang w:eastAsia="ja-JP"/>
              </w:rPr>
              <w:t>8</w:t>
            </w:r>
            <w:r w:rsidRPr="00524A0C">
              <w:rPr>
                <w:rFonts w:ascii="Cambria" w:hAnsi="Cambria"/>
                <w:b/>
                <w:color w:val="365F91"/>
                <w:sz w:val="44"/>
                <w:szCs w:val="80"/>
                <w:lang w:val="sr-Cyrl-RS" w:eastAsia="ja-JP"/>
              </w:rPr>
              <w:t>. годину</w:t>
            </w:r>
          </w:p>
        </w:tc>
      </w:tr>
      <w:tr w:rsidR="005A77A9" w:rsidRPr="00524A0C" w:rsidTr="002E4771">
        <w:trPr>
          <w:trHeight w:val="280"/>
        </w:trPr>
        <w:tc>
          <w:tcPr>
            <w:tcW w:w="9800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524A0C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24A0C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24A0C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  <w:p w:rsidR="005A77A9" w:rsidRPr="00524A0C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</w:tbl>
    <w:p w:rsidR="005A77A9" w:rsidRPr="00524A0C" w:rsidRDefault="005A77A9" w:rsidP="005A77A9"/>
    <w:p w:rsidR="005A77A9" w:rsidRPr="00524A0C" w:rsidRDefault="005A77A9" w:rsidP="005A77A9"/>
    <w:p w:rsidR="005A77A9" w:rsidRPr="00524A0C" w:rsidRDefault="005A77A9" w:rsidP="005A77A9"/>
    <w:p w:rsidR="005A77A9" w:rsidRPr="00524A0C" w:rsidRDefault="005A77A9" w:rsidP="005A77A9">
      <w:pPr>
        <w:rPr>
          <w:lang w:val="sr-Cyrl-RS"/>
        </w:rPr>
      </w:pPr>
    </w:p>
    <w:p w:rsidR="005A77A9" w:rsidRPr="00524A0C" w:rsidRDefault="005A77A9" w:rsidP="005A77A9">
      <w:pPr>
        <w:rPr>
          <w:lang w:val="sr-Cyrl-RS"/>
        </w:rPr>
      </w:pPr>
    </w:p>
    <w:p w:rsidR="00777AA0" w:rsidRPr="00524A0C" w:rsidRDefault="005A77A9" w:rsidP="0046227E">
      <w:pPr>
        <w:pStyle w:val="ListParagraph"/>
        <w:numPr>
          <w:ilvl w:val="0"/>
          <w:numId w:val="20"/>
        </w:numPr>
        <w:jc w:val="center"/>
        <w:rPr>
          <w:rFonts w:ascii="Arial" w:hAnsi="Arial" w:cs="Arial"/>
          <w:b/>
          <w:iCs/>
          <w:sz w:val="22"/>
          <w:lang w:val="sr-Cyrl-CS"/>
        </w:rPr>
      </w:pPr>
      <w:r w:rsidRPr="00524A0C">
        <w:br w:type="page"/>
      </w:r>
    </w:p>
    <w:p w:rsidR="005A77A9" w:rsidRPr="00CF7713" w:rsidRDefault="00EC7C2D" w:rsidP="002F1DFB">
      <w:pPr>
        <w:pStyle w:val="Heading1"/>
        <w:rPr>
          <w:rFonts w:ascii="Arial" w:hAnsi="Arial" w:cs="Arial"/>
          <w:sz w:val="24"/>
        </w:rPr>
      </w:pPr>
      <w:bookmarkStart w:id="17" w:name="_Toc481062250"/>
      <w:bookmarkStart w:id="18" w:name="_Toc500762413"/>
      <w:r w:rsidRPr="00CF7713">
        <w:rPr>
          <w:rFonts w:ascii="Arial" w:hAnsi="Arial" w:cs="Arial"/>
          <w:sz w:val="22"/>
        </w:rPr>
        <w:lastRenderedPageBreak/>
        <w:t>РЕБАЛАНС ЕЛЕКТРОЕНЕРГЕТСКОГ</w:t>
      </w:r>
      <w:r w:rsidR="005A77A9" w:rsidRPr="00CF7713">
        <w:rPr>
          <w:rFonts w:ascii="Arial" w:hAnsi="Arial" w:cs="Arial"/>
          <w:sz w:val="22"/>
        </w:rPr>
        <w:t xml:space="preserve"> БИЛАНС</w:t>
      </w:r>
      <w:r w:rsidRPr="00CF7713">
        <w:rPr>
          <w:rFonts w:ascii="Arial" w:hAnsi="Arial" w:cs="Arial"/>
          <w:sz w:val="22"/>
        </w:rPr>
        <w:t>А</w:t>
      </w:r>
      <w:r w:rsidR="00CA744E" w:rsidRPr="00CF7713">
        <w:rPr>
          <w:rFonts w:ascii="Arial" w:hAnsi="Arial" w:cs="Arial"/>
          <w:sz w:val="22"/>
          <w:lang w:val="sr-Cyrl-BA"/>
        </w:rPr>
        <w:t xml:space="preserve"> </w:t>
      </w:r>
      <w:r w:rsidR="005A77A9" w:rsidRPr="00CF7713">
        <w:rPr>
          <w:rFonts w:ascii="Arial" w:hAnsi="Arial" w:cs="Arial"/>
          <w:sz w:val="22"/>
        </w:rPr>
        <w:t xml:space="preserve">ЗЕДП ''ЕЛЕКТРО-БИЈЕЉИНА'' а.д. </w:t>
      </w:r>
      <w:r w:rsidR="005A77A9" w:rsidRPr="00CF7713">
        <w:rPr>
          <w:rFonts w:ascii="Arial" w:hAnsi="Arial" w:cs="Arial"/>
          <w:sz w:val="24"/>
        </w:rPr>
        <w:t>за 20</w:t>
      </w:r>
      <w:r w:rsidR="00883898" w:rsidRPr="00CF7713">
        <w:rPr>
          <w:rFonts w:ascii="Arial" w:hAnsi="Arial" w:cs="Arial"/>
          <w:sz w:val="24"/>
        </w:rPr>
        <w:t>1</w:t>
      </w:r>
      <w:r w:rsidR="00CF7713" w:rsidRPr="00CF7713">
        <w:rPr>
          <w:rFonts w:ascii="Arial" w:hAnsi="Arial" w:cs="Arial"/>
          <w:sz w:val="24"/>
          <w:lang w:val="en-US"/>
        </w:rPr>
        <w:t>8</w:t>
      </w:r>
      <w:r w:rsidR="005A77A9" w:rsidRPr="00CF7713">
        <w:rPr>
          <w:rFonts w:ascii="Arial" w:hAnsi="Arial" w:cs="Arial"/>
          <w:sz w:val="24"/>
        </w:rPr>
        <w:t xml:space="preserve">. </w:t>
      </w:r>
      <w:r w:rsidR="00CA744E" w:rsidRPr="00CF7713">
        <w:rPr>
          <w:rFonts w:ascii="Arial" w:hAnsi="Arial" w:cs="Arial"/>
          <w:sz w:val="24"/>
        </w:rPr>
        <w:t>год.</w:t>
      </w:r>
      <w:bookmarkEnd w:id="17"/>
      <w:bookmarkEnd w:id="18"/>
    </w:p>
    <w:p w:rsidR="005A77A9" w:rsidRPr="00CF7713" w:rsidRDefault="00AD2100" w:rsidP="005A77A9">
      <w:pPr>
        <w:rPr>
          <w:rFonts w:ascii="CTimesRoman" w:hAnsi="CTimesRoman"/>
          <w:b/>
          <w:lang w:val="sr-Cyrl-CS"/>
        </w:rPr>
      </w:pPr>
      <w:r>
        <w:rPr>
          <w:b/>
          <w:sz w:val="21"/>
          <w:lang w:val="sr-Cyrl-CS"/>
        </w:rPr>
        <w:pict>
          <v:rect id="_x0000_i1025" style="width:462.85pt;height:.25pt" o:hrpct="989" o:hralign="center" o:hrstd="t" o:hr="t" fillcolor="gray" stroked="f"/>
        </w:pict>
      </w:r>
    </w:p>
    <w:p w:rsidR="005A77A9" w:rsidRPr="00CF7713" w:rsidRDefault="005A77A9" w:rsidP="005A77A9">
      <w:pPr>
        <w:jc w:val="both"/>
        <w:rPr>
          <w:rFonts w:ascii="Arial" w:hAnsi="Arial" w:cs="Arial"/>
          <w:sz w:val="22"/>
          <w:lang w:val="sr-Latn-CS"/>
        </w:rPr>
      </w:pPr>
    </w:p>
    <w:p w:rsidR="00777AA0" w:rsidRPr="00CF7713" w:rsidRDefault="00777AA0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19" w:name="_Toc481062251"/>
      <w:bookmarkStart w:id="20" w:name="_Toc500762414"/>
      <w:r w:rsidRPr="00CF7713">
        <w:rPr>
          <w:rFonts w:ascii="Arial" w:hAnsi="Arial" w:cs="Arial"/>
          <w:sz w:val="22"/>
          <w:u w:val="single"/>
        </w:rPr>
        <w:t xml:space="preserve">Принципи израде </w:t>
      </w:r>
      <w:r w:rsidR="00310B99" w:rsidRPr="00CF7713">
        <w:rPr>
          <w:rFonts w:ascii="Arial" w:hAnsi="Arial" w:cs="Arial"/>
          <w:sz w:val="22"/>
          <w:u w:val="single"/>
          <w:lang w:val="sr-Cyrl-BA"/>
        </w:rPr>
        <w:t>електроенергетско</w:t>
      </w:r>
      <w:r w:rsidR="00015953" w:rsidRPr="00CF7713">
        <w:rPr>
          <w:rFonts w:ascii="Arial" w:hAnsi="Arial" w:cs="Arial"/>
          <w:sz w:val="22"/>
          <w:u w:val="single"/>
        </w:rPr>
        <w:t>г</w:t>
      </w:r>
      <w:r w:rsidR="00310B99" w:rsidRPr="00CF7713">
        <w:rPr>
          <w:rFonts w:ascii="Arial" w:hAnsi="Arial" w:cs="Arial"/>
          <w:sz w:val="22"/>
          <w:u w:val="single"/>
          <w:lang w:val="sr-Cyrl-BA"/>
        </w:rPr>
        <w:t xml:space="preserve"> </w:t>
      </w:r>
      <w:r w:rsidRPr="00CF7713">
        <w:rPr>
          <w:rFonts w:ascii="Arial" w:hAnsi="Arial" w:cs="Arial"/>
          <w:sz w:val="22"/>
          <w:u w:val="single"/>
        </w:rPr>
        <w:t>биланса</w:t>
      </w:r>
      <w:bookmarkEnd w:id="19"/>
      <w:bookmarkEnd w:id="20"/>
      <w:r w:rsidRPr="00CF7713">
        <w:rPr>
          <w:rFonts w:ascii="Arial" w:hAnsi="Arial" w:cs="Arial"/>
          <w:sz w:val="22"/>
          <w:u w:val="single"/>
        </w:rPr>
        <w:t xml:space="preserve">  </w:t>
      </w:r>
    </w:p>
    <w:p w:rsidR="00777AA0" w:rsidRPr="00C161F7" w:rsidRDefault="00777AA0" w:rsidP="00777AA0">
      <w:pPr>
        <w:jc w:val="both"/>
        <w:rPr>
          <w:rFonts w:ascii="Arial" w:hAnsi="Arial" w:cs="Arial"/>
          <w:sz w:val="22"/>
          <w:szCs w:val="22"/>
          <w:highlight w:val="yellow"/>
          <w:u w:val="single"/>
          <w:lang w:val="sr-Cyrl-CS"/>
        </w:rPr>
      </w:pPr>
    </w:p>
    <w:p w:rsidR="005A77A9" w:rsidRPr="00CF7713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CF7713">
        <w:rPr>
          <w:rFonts w:ascii="Arial" w:hAnsi="Arial" w:cs="Arial"/>
          <w:sz w:val="22"/>
          <w:szCs w:val="22"/>
          <w:lang w:val="sr-Cyrl-CS"/>
        </w:rPr>
        <w:t>У складу са Законом о електричној енергији</w:t>
      </w:r>
      <w:r w:rsidRPr="00CF771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D619FF" w:rsidRPr="00CF7713">
        <w:rPr>
          <w:rFonts w:ascii="Arial" w:hAnsi="Arial" w:cs="Arial"/>
          <w:sz w:val="22"/>
          <w:szCs w:val="22"/>
          <w:lang w:val="sr-Cyrl-CS"/>
        </w:rPr>
        <w:t>(Службени гласник РС број 8</w:t>
      </w:r>
      <w:r w:rsidRPr="00CF7713">
        <w:rPr>
          <w:rFonts w:ascii="Arial" w:hAnsi="Arial" w:cs="Arial"/>
          <w:sz w:val="22"/>
          <w:szCs w:val="22"/>
          <w:lang w:val="sr-Cyrl-CS"/>
        </w:rPr>
        <w:t>/</w:t>
      </w:r>
      <w:r w:rsidR="00D619FF" w:rsidRPr="00CF7713">
        <w:rPr>
          <w:rFonts w:ascii="Arial" w:hAnsi="Arial" w:cs="Arial"/>
          <w:sz w:val="22"/>
          <w:szCs w:val="22"/>
          <w:lang w:val="sr-Cyrl-CS"/>
        </w:rPr>
        <w:t>2008</w:t>
      </w:r>
      <w:r w:rsidRPr="00CF7713">
        <w:rPr>
          <w:rFonts w:ascii="Arial" w:hAnsi="Arial" w:cs="Arial"/>
          <w:sz w:val="22"/>
          <w:szCs w:val="22"/>
          <w:lang w:val="sr-Cyrl-CS"/>
        </w:rPr>
        <w:t xml:space="preserve">) Влада Републике Српске усваја </w:t>
      </w:r>
      <w:r w:rsidR="002970B7" w:rsidRPr="00CF7713">
        <w:rPr>
          <w:rFonts w:ascii="Arial" w:hAnsi="Arial" w:cs="Arial"/>
          <w:sz w:val="22"/>
          <w:szCs w:val="22"/>
          <w:lang w:val="sr-Cyrl-CS"/>
        </w:rPr>
        <w:t>Ребаланс Електроенергетског</w:t>
      </w:r>
      <w:r w:rsidRPr="00CF7713">
        <w:rPr>
          <w:rFonts w:ascii="Arial" w:hAnsi="Arial" w:cs="Arial"/>
          <w:sz w:val="22"/>
          <w:szCs w:val="22"/>
          <w:lang w:val="sr-Cyrl-CS"/>
        </w:rPr>
        <w:t xml:space="preserve"> биланс</w:t>
      </w:r>
      <w:r w:rsidR="002970B7" w:rsidRPr="00CF7713">
        <w:rPr>
          <w:rFonts w:ascii="Arial" w:hAnsi="Arial" w:cs="Arial"/>
          <w:sz w:val="22"/>
          <w:szCs w:val="22"/>
          <w:lang w:val="sr-Cyrl-CS"/>
        </w:rPr>
        <w:t>а</w:t>
      </w:r>
      <w:r w:rsidRPr="00CF7713">
        <w:rPr>
          <w:rFonts w:ascii="Arial" w:hAnsi="Arial" w:cs="Arial"/>
          <w:sz w:val="22"/>
          <w:szCs w:val="22"/>
          <w:lang w:val="sr-Cyrl-CS"/>
        </w:rPr>
        <w:t xml:space="preserve"> Републике Српске, а изворне податке за потрошњу достављају електродистрибутивна предузећа и директно прикључени потрошачи</w:t>
      </w:r>
      <w:r w:rsidRPr="00CF7713">
        <w:rPr>
          <w:rFonts w:ascii="Arial" w:hAnsi="Arial" w:cs="Arial"/>
          <w:sz w:val="22"/>
          <w:szCs w:val="22"/>
          <w:lang w:val="ru-RU"/>
        </w:rPr>
        <w:t>,</w:t>
      </w:r>
      <w:r w:rsidRPr="00CF7713">
        <w:rPr>
          <w:rFonts w:ascii="Arial" w:hAnsi="Arial" w:cs="Arial"/>
          <w:sz w:val="22"/>
          <w:szCs w:val="22"/>
          <w:lang w:val="sr-Cyrl-CS"/>
        </w:rPr>
        <w:t xml:space="preserve"> преко Електропривреде РС и НОС-а.</w:t>
      </w:r>
    </w:p>
    <w:p w:rsidR="0078358D" w:rsidRPr="00C161F7" w:rsidRDefault="0078358D" w:rsidP="0078358D">
      <w:pPr>
        <w:jc w:val="both"/>
        <w:rPr>
          <w:rFonts w:ascii="Arial" w:hAnsi="Arial" w:cs="Arial"/>
          <w:sz w:val="22"/>
          <w:szCs w:val="22"/>
          <w:highlight w:val="yellow"/>
          <w:lang w:val="sr-Cyrl-CS"/>
        </w:rPr>
      </w:pPr>
    </w:p>
    <w:p w:rsidR="0078358D" w:rsidRPr="00DF411E" w:rsidRDefault="00CA26D9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Ребаланс елекетроенергетског биланса је рађен на принципу изједначавања плана са остварењем електроенергетских вели</w:t>
      </w:r>
      <w:r w:rsidR="00CF7713" w:rsidRPr="00DF411E">
        <w:rPr>
          <w:rFonts w:ascii="Arial" w:hAnsi="Arial" w:cs="Arial"/>
          <w:sz w:val="22"/>
          <w:szCs w:val="22"/>
          <w:lang w:val="sr-Cyrl-CS"/>
        </w:rPr>
        <w:t>чина за период 01.01.-30.06.201</w:t>
      </w:r>
      <w:r w:rsidR="00CF7713" w:rsidRPr="00DF411E">
        <w:rPr>
          <w:rFonts w:ascii="Arial" w:hAnsi="Arial" w:cs="Arial"/>
          <w:sz w:val="22"/>
          <w:szCs w:val="22"/>
        </w:rPr>
        <w:t>8</w:t>
      </w:r>
      <w:r w:rsidRPr="00DF411E">
        <w:rPr>
          <w:rFonts w:ascii="Arial" w:hAnsi="Arial" w:cs="Arial"/>
          <w:sz w:val="22"/>
          <w:szCs w:val="22"/>
          <w:lang w:val="sr-Cyrl-CS"/>
        </w:rPr>
        <w:t>. и пла</w:t>
      </w:r>
      <w:r w:rsidR="00CF7713" w:rsidRPr="00DF411E">
        <w:rPr>
          <w:rFonts w:ascii="Arial" w:hAnsi="Arial" w:cs="Arial"/>
          <w:sz w:val="22"/>
          <w:szCs w:val="22"/>
          <w:lang w:val="sr-Cyrl-CS"/>
        </w:rPr>
        <w:t>нова за период 01.07.-31.12.201</w:t>
      </w:r>
      <w:r w:rsidR="00CF7713" w:rsidRPr="00DF411E">
        <w:rPr>
          <w:rFonts w:ascii="Arial" w:hAnsi="Arial" w:cs="Arial"/>
          <w:sz w:val="22"/>
          <w:szCs w:val="22"/>
        </w:rPr>
        <w:t>8</w:t>
      </w:r>
      <w:r w:rsidRPr="00DF411E">
        <w:rPr>
          <w:rFonts w:ascii="Arial" w:hAnsi="Arial" w:cs="Arial"/>
          <w:sz w:val="22"/>
          <w:szCs w:val="22"/>
          <w:lang w:val="sr-Cyrl-CS"/>
        </w:rPr>
        <w:t>. године</w:t>
      </w:r>
      <w:r w:rsidR="0078358D" w:rsidRPr="00DF411E">
        <w:rPr>
          <w:rFonts w:ascii="Arial" w:hAnsi="Arial" w:cs="Arial"/>
          <w:sz w:val="22"/>
          <w:szCs w:val="22"/>
          <w:lang w:val="sr-Cyrl-CS"/>
        </w:rPr>
        <w:t>. Услови у којима се утврђује електроенергетски биланс представљају низ техничких, економских и организационих параметара који приказују тренутно стање у енергетском сектору и у Електропривреди РС, што се директно одражава и на ЗЕДП ''Електро-Бијељина'' а.д. Бијељина, која дијели судбину осталих дистрибутивних предузећа у Републици Српској. У том смислу, при изради електроенергетског биланса, као и при одређивању претпоставки за његово остварење, треба неизоставно имати у виду и сљедеће чињенице:</w:t>
      </w:r>
    </w:p>
    <w:p w:rsidR="0078358D" w:rsidRPr="00DF411E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DF411E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Увођењем ПДВ-а плаћа се порез на мјесечне остварене прекопланске губитке, који је бесповратан, па макар губици на нивоу године били и мањи од планираног износа.</w:t>
      </w:r>
    </w:p>
    <w:p w:rsidR="0078358D" w:rsidRPr="00DF411E" w:rsidRDefault="0078358D" w:rsidP="0078358D">
      <w:pPr>
        <w:ind w:left="360"/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DF411E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 xml:space="preserve">Нестабилан рад већих привредних субјеката, као што су рудници ''Богутово Село'' Угљевик, Рудник ''Сасе'' Сребреница и Рудник ''Боксит'' Милићи, могао би довести до знатних одступања од плана у тој категорији потрошње (35 </w:t>
      </w:r>
      <w:r w:rsidRPr="00DF411E">
        <w:rPr>
          <w:rFonts w:ascii="Arial" w:hAnsi="Arial" w:cs="Arial"/>
          <w:sz w:val="22"/>
          <w:szCs w:val="22"/>
          <w:lang w:val="sr-Latn-CS"/>
        </w:rPr>
        <w:t>kV</w:t>
      </w:r>
      <w:r w:rsidRPr="00DF411E">
        <w:rPr>
          <w:rFonts w:ascii="Arial" w:hAnsi="Arial" w:cs="Arial"/>
          <w:sz w:val="22"/>
          <w:szCs w:val="22"/>
          <w:lang w:val="sr-Cyrl-CS"/>
        </w:rPr>
        <w:t>).</w:t>
      </w:r>
    </w:p>
    <w:p w:rsidR="0078358D" w:rsidRPr="00DF411E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DF411E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 xml:space="preserve">Промјена тарифних ставова и тарифне методологије могла би довјести до преливања потрошача са категорије 10 </w:t>
      </w:r>
      <w:r w:rsidRPr="00DF411E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DF411E">
        <w:rPr>
          <w:rFonts w:ascii="Arial" w:hAnsi="Arial" w:cs="Arial"/>
          <w:sz w:val="22"/>
          <w:szCs w:val="22"/>
          <w:lang w:val="sr-Cyrl-CS"/>
        </w:rPr>
        <w:t xml:space="preserve">потрошње у категорију 0,4 </w:t>
      </w:r>
      <w:r w:rsidRPr="00DF411E">
        <w:rPr>
          <w:rFonts w:ascii="Arial" w:hAnsi="Arial" w:cs="Arial"/>
          <w:sz w:val="22"/>
          <w:szCs w:val="22"/>
          <w:lang w:val="sr-Latn-CS"/>
        </w:rPr>
        <w:t xml:space="preserve">kV </w:t>
      </w:r>
      <w:r w:rsidRPr="00DF411E">
        <w:rPr>
          <w:rFonts w:ascii="Arial" w:hAnsi="Arial" w:cs="Arial"/>
          <w:sz w:val="22"/>
          <w:szCs w:val="22"/>
          <w:lang w:val="sr-Cyrl-CS"/>
        </w:rPr>
        <w:t>остала потрошња (или обрнуто).</w:t>
      </w:r>
    </w:p>
    <w:p w:rsidR="0078358D" w:rsidRPr="00DF411E" w:rsidRDefault="0078358D" w:rsidP="0078358D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78358D" w:rsidRPr="00DF411E" w:rsidRDefault="0078358D" w:rsidP="0046227E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Велика је важност благовременог мјесечног очитавања потрошње. Сваки дан кашњења или прераног очитања потрошње резултира промјеном износа губитака и до 3% за тај мјесец и у тој категорији потрошње, што ремети концепцију по којој је биланс сачињен.</w:t>
      </w:r>
    </w:p>
    <w:p w:rsidR="00310B99" w:rsidRPr="00DF411E" w:rsidRDefault="00310B99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</w:p>
    <w:p w:rsidR="00FE1094" w:rsidRPr="00DF411E" w:rsidRDefault="00885D07" w:rsidP="00310B99">
      <w:pPr>
        <w:spacing w:line="360" w:lineRule="auto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Планирана потрошња електричне енергије обухвата:</w:t>
      </w:r>
    </w:p>
    <w:p w:rsidR="00885D07" w:rsidRPr="00DF411E" w:rsidRDefault="00885D07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Нето потрошњу крајњих купаца које снабдијевају дистрибутивна предузећа,</w:t>
      </w:r>
    </w:p>
    <w:p w:rsidR="00885D07" w:rsidRPr="00DF411E" w:rsidRDefault="00885D07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Губитке електричне енергије н</w:t>
      </w:r>
      <w:r w:rsidR="009F00DB" w:rsidRPr="00DF411E">
        <w:rPr>
          <w:rFonts w:ascii="Arial" w:hAnsi="Arial" w:cs="Arial"/>
          <w:sz w:val="22"/>
          <w:szCs w:val="22"/>
          <w:lang w:val="sr-Cyrl-CS"/>
        </w:rPr>
        <w:t>а</w:t>
      </w:r>
      <w:r w:rsidRPr="00DF411E">
        <w:rPr>
          <w:rFonts w:ascii="Arial" w:hAnsi="Arial" w:cs="Arial"/>
          <w:sz w:val="22"/>
          <w:szCs w:val="22"/>
          <w:lang w:val="sr-Cyrl-CS"/>
        </w:rPr>
        <w:t xml:space="preserve"> дистрибутивној мрежи </w:t>
      </w:r>
    </w:p>
    <w:p w:rsidR="00885D07" w:rsidRPr="00DF411E" w:rsidRDefault="00074294" w:rsidP="0046227E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Бруто дистрибутивну потрошњу.</w:t>
      </w:r>
    </w:p>
    <w:p w:rsidR="00885D07" w:rsidRPr="00C161F7" w:rsidRDefault="00885D07" w:rsidP="00885D07">
      <w:pPr>
        <w:jc w:val="both"/>
        <w:rPr>
          <w:rFonts w:ascii="Arial" w:hAnsi="Arial" w:cs="Arial"/>
          <w:sz w:val="22"/>
          <w:szCs w:val="22"/>
          <w:highlight w:val="yellow"/>
          <w:lang w:val="sr-Cyrl-CS"/>
        </w:rPr>
      </w:pPr>
    </w:p>
    <w:p w:rsidR="00885D07" w:rsidRPr="00DF411E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Нето потрошња крајњих купаца на средњем и ниском напону, заједно са губицима електричне енергије на дистрибутивној мрежи, представља бруто дистрибутивну потр</w:t>
      </w:r>
      <w:r w:rsidR="00C25C2D" w:rsidRPr="00DF411E">
        <w:rPr>
          <w:rFonts w:ascii="Arial" w:hAnsi="Arial" w:cs="Arial"/>
          <w:sz w:val="22"/>
          <w:szCs w:val="22"/>
          <w:lang w:val="sr-Cyrl-CS"/>
        </w:rPr>
        <w:t>о</w:t>
      </w:r>
      <w:r w:rsidRPr="00DF411E">
        <w:rPr>
          <w:rFonts w:ascii="Arial" w:hAnsi="Arial" w:cs="Arial"/>
          <w:sz w:val="22"/>
          <w:szCs w:val="22"/>
          <w:lang w:val="sr-Cyrl-CS"/>
        </w:rPr>
        <w:t xml:space="preserve">шњу. Потрошачи директно прикључени на 110 </w:t>
      </w:r>
      <w:r w:rsidRPr="00DF411E">
        <w:rPr>
          <w:rFonts w:ascii="Arial" w:hAnsi="Arial" w:cs="Arial"/>
          <w:sz w:val="22"/>
          <w:szCs w:val="22"/>
          <w:lang w:val="sr-Latn-BA"/>
        </w:rPr>
        <w:t xml:space="preserve">kV </w:t>
      </w:r>
      <w:r w:rsidRPr="00DF411E">
        <w:rPr>
          <w:rFonts w:ascii="Arial" w:hAnsi="Arial" w:cs="Arial"/>
          <w:sz w:val="22"/>
          <w:szCs w:val="22"/>
          <w:lang w:val="sr-Cyrl-CS"/>
        </w:rPr>
        <w:t xml:space="preserve">дистрибутивну мрежу </w:t>
      </w:r>
      <w:r w:rsidRPr="00DF411E">
        <w:rPr>
          <w:rFonts w:ascii="Arial" w:hAnsi="Arial" w:cs="Arial"/>
          <w:sz w:val="22"/>
          <w:szCs w:val="22"/>
          <w:lang w:val="sr-Cyrl-BA"/>
        </w:rPr>
        <w:t>код планирања ЕЕ биланса планирају се одвојено.</w:t>
      </w:r>
    </w:p>
    <w:p w:rsidR="00074294" w:rsidRPr="00DF411E" w:rsidRDefault="00074294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</w:p>
    <w:p w:rsidR="004874E0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  <w:sectPr w:rsidR="004874E0" w:rsidSect="00524A0C">
          <w:type w:val="continuous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DF411E">
        <w:rPr>
          <w:rFonts w:ascii="Arial" w:hAnsi="Arial" w:cs="Arial"/>
          <w:sz w:val="22"/>
          <w:szCs w:val="22"/>
          <w:lang w:val="sr-Cyrl-BA"/>
        </w:rPr>
        <w:lastRenderedPageBreak/>
        <w:t>Проценат планских губитака електричне енергије на дистрибутивној мрежи утврђен је у складу са нивоом губитака који је одобрен од стране Регулаторне комисије у претходном тарифном поступку</w:t>
      </w:r>
      <w:r w:rsidR="00777AA0" w:rsidRPr="00DF411E">
        <w:rPr>
          <w:rFonts w:ascii="Arial" w:hAnsi="Arial" w:cs="Arial"/>
          <w:sz w:val="22"/>
          <w:szCs w:val="22"/>
          <w:lang w:val="sr-Cyrl-BA"/>
        </w:rPr>
        <w:t xml:space="preserve">. </w:t>
      </w:r>
    </w:p>
    <w:p w:rsidR="00885D07" w:rsidRPr="00DF411E" w:rsidRDefault="00885D07" w:rsidP="00885D07">
      <w:pPr>
        <w:jc w:val="both"/>
        <w:rPr>
          <w:rFonts w:ascii="Arial" w:hAnsi="Arial" w:cs="Arial"/>
          <w:sz w:val="22"/>
          <w:szCs w:val="22"/>
          <w:lang w:val="sr-Cyrl-BA"/>
        </w:rPr>
      </w:pPr>
    </w:p>
    <w:p w:rsidR="00885D07" w:rsidRPr="00DF411E" w:rsidRDefault="00885D07" w:rsidP="00885D07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5A77A9" w:rsidRPr="00DF411E" w:rsidRDefault="005A77A9" w:rsidP="005A77A9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DF411E">
        <w:rPr>
          <w:rFonts w:ascii="Arial" w:hAnsi="Arial" w:cs="Arial"/>
          <w:sz w:val="22"/>
          <w:szCs w:val="22"/>
          <w:lang w:val="sr-Cyrl-CS"/>
        </w:rPr>
        <w:t>Поред потрошње, у е</w:t>
      </w:r>
      <w:r w:rsidR="00777AA0" w:rsidRPr="00DF411E">
        <w:rPr>
          <w:rFonts w:ascii="Arial" w:hAnsi="Arial" w:cs="Arial"/>
          <w:sz w:val="22"/>
          <w:szCs w:val="22"/>
          <w:lang w:val="sr-Cyrl-CS"/>
        </w:rPr>
        <w:t>лектроенергетском билансу ЗЕДП ''</w:t>
      </w:r>
      <w:r w:rsidRPr="00DF411E">
        <w:rPr>
          <w:rFonts w:ascii="Arial" w:hAnsi="Arial" w:cs="Arial"/>
          <w:sz w:val="22"/>
          <w:szCs w:val="22"/>
          <w:lang w:val="sr-Cyrl-CS"/>
        </w:rPr>
        <w:t>Електро-Бијељине</w:t>
      </w:r>
      <w:r w:rsidR="00777AA0" w:rsidRPr="00DF411E">
        <w:rPr>
          <w:rFonts w:ascii="Arial" w:hAnsi="Arial" w:cs="Arial"/>
          <w:sz w:val="22"/>
          <w:szCs w:val="22"/>
          <w:lang w:val="sr-Cyrl-CS"/>
        </w:rPr>
        <w:t xml:space="preserve">'' </w:t>
      </w:r>
      <w:r w:rsidRPr="00DF411E">
        <w:rPr>
          <w:rFonts w:ascii="Arial" w:hAnsi="Arial" w:cs="Arial"/>
          <w:sz w:val="22"/>
          <w:szCs w:val="22"/>
          <w:lang w:val="sr-Cyrl-CS"/>
        </w:rPr>
        <w:t>а.д. садржана је и производња двије мале хидроелектране, Власеница и Тишча, које се налазе на подручју РЈ Власеница. Ове хидроелектране учествују у реализацији</w:t>
      </w:r>
      <w:r w:rsidR="00D1201E" w:rsidRPr="00DF41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Pr="00DF411E">
        <w:rPr>
          <w:rFonts w:ascii="Arial" w:hAnsi="Arial" w:cs="Arial"/>
          <w:sz w:val="22"/>
          <w:szCs w:val="22"/>
          <w:lang w:val="sr-Cyrl-CS"/>
        </w:rPr>
        <w:t xml:space="preserve"> ЗЕ</w:t>
      </w:r>
      <w:r w:rsidR="00777AA0" w:rsidRPr="00DF411E">
        <w:rPr>
          <w:rFonts w:ascii="Arial" w:hAnsi="Arial" w:cs="Arial"/>
          <w:sz w:val="22"/>
          <w:szCs w:val="22"/>
          <w:lang w:val="sr-Cyrl-CS"/>
        </w:rPr>
        <w:t>ДП ''</w:t>
      </w:r>
      <w:r w:rsidRPr="00DF411E">
        <w:rPr>
          <w:rFonts w:ascii="Arial" w:hAnsi="Arial" w:cs="Arial"/>
          <w:sz w:val="22"/>
          <w:szCs w:val="22"/>
          <w:lang w:val="sr-Cyrl-CS"/>
        </w:rPr>
        <w:t>Електро-</w:t>
      </w:r>
      <w:r w:rsidR="00A65C84" w:rsidRPr="00DF411E">
        <w:rPr>
          <w:rFonts w:ascii="Arial" w:hAnsi="Arial" w:cs="Arial"/>
          <w:sz w:val="22"/>
          <w:szCs w:val="22"/>
          <w:lang w:val="sr-Cyrl-CS"/>
        </w:rPr>
        <w:t>Бијељина</w:t>
      </w:r>
      <w:r w:rsidR="00777AA0" w:rsidRPr="00DF411E">
        <w:rPr>
          <w:rFonts w:ascii="Arial" w:hAnsi="Arial" w:cs="Arial"/>
          <w:sz w:val="22"/>
          <w:szCs w:val="22"/>
          <w:lang w:val="sr-Cyrl-CS"/>
        </w:rPr>
        <w:t xml:space="preserve">'' </w:t>
      </w:r>
      <w:r w:rsidR="00A65C84" w:rsidRPr="00DF411E">
        <w:rPr>
          <w:rFonts w:ascii="Arial" w:hAnsi="Arial" w:cs="Arial"/>
          <w:sz w:val="22"/>
          <w:szCs w:val="22"/>
          <w:lang w:val="sr-Cyrl-CS"/>
        </w:rPr>
        <w:t xml:space="preserve">а.д. у износу од око </w:t>
      </w:r>
      <w:r w:rsidR="00C9490D" w:rsidRPr="00DF411E">
        <w:rPr>
          <w:rFonts w:ascii="Arial" w:hAnsi="Arial" w:cs="Arial"/>
          <w:sz w:val="22"/>
          <w:szCs w:val="22"/>
          <w:lang w:val="sr-Cyrl-CS"/>
        </w:rPr>
        <w:t>1,2</w:t>
      </w:r>
      <w:r w:rsidRPr="00DF411E">
        <w:rPr>
          <w:rFonts w:ascii="Arial" w:hAnsi="Arial" w:cs="Arial"/>
          <w:sz w:val="22"/>
          <w:szCs w:val="22"/>
          <w:lang w:val="sr-Cyrl-CS"/>
        </w:rPr>
        <w:t>%, а у ре</w:t>
      </w:r>
      <w:r w:rsidR="00A65C84" w:rsidRPr="00DF411E">
        <w:rPr>
          <w:rFonts w:ascii="Arial" w:hAnsi="Arial" w:cs="Arial"/>
          <w:sz w:val="22"/>
          <w:szCs w:val="22"/>
          <w:lang w:val="sr-Cyrl-CS"/>
        </w:rPr>
        <w:t>ализацији</w:t>
      </w:r>
      <w:r w:rsidR="00D1201E" w:rsidRPr="00DF411E">
        <w:rPr>
          <w:rFonts w:ascii="Arial" w:hAnsi="Arial" w:cs="Arial"/>
          <w:sz w:val="22"/>
          <w:szCs w:val="22"/>
          <w:lang w:val="sr-Cyrl-CS"/>
        </w:rPr>
        <w:t xml:space="preserve"> биланса</w:t>
      </w:r>
      <w:r w:rsidR="00A65C84" w:rsidRPr="00DF411E">
        <w:rPr>
          <w:rFonts w:ascii="Arial" w:hAnsi="Arial" w:cs="Arial"/>
          <w:sz w:val="22"/>
          <w:szCs w:val="22"/>
          <w:lang w:val="sr-Cyrl-CS"/>
        </w:rPr>
        <w:t xml:space="preserve"> РЈ Власеница са чак </w:t>
      </w:r>
      <w:r w:rsidR="00C9490D" w:rsidRPr="00DF411E">
        <w:rPr>
          <w:rFonts w:ascii="Arial" w:hAnsi="Arial" w:cs="Arial"/>
          <w:sz w:val="22"/>
          <w:szCs w:val="22"/>
          <w:lang w:val="sr-Cyrl-CS"/>
        </w:rPr>
        <w:t>12</w:t>
      </w:r>
      <w:r w:rsidRPr="00DF411E">
        <w:rPr>
          <w:rFonts w:ascii="Arial" w:hAnsi="Arial" w:cs="Arial"/>
          <w:sz w:val="22"/>
          <w:szCs w:val="22"/>
          <w:lang w:val="sr-Cyrl-CS"/>
        </w:rPr>
        <w:t>%.</w:t>
      </w:r>
      <w:r w:rsidR="00777AA0" w:rsidRPr="00DF411E">
        <w:rPr>
          <w:rFonts w:ascii="Arial" w:hAnsi="Arial" w:cs="Arial"/>
          <w:sz w:val="22"/>
          <w:szCs w:val="22"/>
          <w:lang w:val="sr-Cyrl-CS"/>
        </w:rPr>
        <w:t xml:space="preserve"> Годишња производња малих хидроелектрана планира се у износу који одговара просјечно оствареној производњи у претходних  10 календарских година.</w:t>
      </w:r>
    </w:p>
    <w:p w:rsidR="00310B99" w:rsidRPr="00C161F7" w:rsidRDefault="00310B99" w:rsidP="005A77A9">
      <w:pPr>
        <w:jc w:val="both"/>
        <w:rPr>
          <w:rFonts w:ascii="Arial" w:hAnsi="Arial" w:cs="Arial"/>
          <w:sz w:val="22"/>
          <w:szCs w:val="22"/>
          <w:highlight w:val="yellow"/>
          <w:lang w:val="sr-Cyrl-CS"/>
        </w:rPr>
      </w:pPr>
    </w:p>
    <w:p w:rsidR="00777AA0" w:rsidRPr="00C161F7" w:rsidRDefault="00777AA0" w:rsidP="005A77A9">
      <w:pPr>
        <w:jc w:val="both"/>
        <w:rPr>
          <w:rFonts w:ascii="Arial" w:hAnsi="Arial" w:cs="Arial"/>
          <w:sz w:val="22"/>
          <w:szCs w:val="22"/>
          <w:highlight w:val="yellow"/>
          <w:lang w:val="sr-Cyrl-CS"/>
        </w:rPr>
      </w:pPr>
    </w:p>
    <w:p w:rsidR="00777AA0" w:rsidRPr="00DF411E" w:rsidRDefault="00074294" w:rsidP="0046227E">
      <w:pPr>
        <w:pStyle w:val="Heading2"/>
        <w:numPr>
          <w:ilvl w:val="0"/>
          <w:numId w:val="21"/>
        </w:numPr>
        <w:jc w:val="left"/>
        <w:rPr>
          <w:rFonts w:ascii="Arial" w:hAnsi="Arial" w:cs="Arial"/>
          <w:sz w:val="22"/>
          <w:u w:val="single"/>
        </w:rPr>
      </w:pPr>
      <w:bookmarkStart w:id="21" w:name="_Toc481062252"/>
      <w:bookmarkStart w:id="22" w:name="_Toc500762415"/>
      <w:r w:rsidRPr="00DF411E">
        <w:rPr>
          <w:rFonts w:ascii="Arial" w:hAnsi="Arial" w:cs="Arial"/>
          <w:sz w:val="22"/>
          <w:u w:val="single"/>
        </w:rPr>
        <w:t>Н</w:t>
      </w:r>
      <w:r w:rsidR="00777AA0" w:rsidRPr="00DF411E">
        <w:rPr>
          <w:rFonts w:ascii="Arial" w:hAnsi="Arial" w:cs="Arial"/>
          <w:sz w:val="22"/>
          <w:u w:val="single"/>
        </w:rPr>
        <w:t>ето потрошња крајњих купаца</w:t>
      </w:r>
      <w:bookmarkEnd w:id="21"/>
      <w:bookmarkEnd w:id="22"/>
    </w:p>
    <w:p w:rsidR="005F2202" w:rsidRPr="00C161F7" w:rsidRDefault="005F2202" w:rsidP="005F2202">
      <w:pPr>
        <w:pStyle w:val="ListParagraph"/>
        <w:jc w:val="both"/>
        <w:rPr>
          <w:rFonts w:ascii="Arial" w:hAnsi="Arial" w:cs="Arial"/>
          <w:b/>
          <w:sz w:val="22"/>
          <w:highlight w:val="yellow"/>
          <w:u w:val="single"/>
          <w:lang w:val="sr-Cyrl-CS"/>
        </w:rPr>
      </w:pPr>
    </w:p>
    <w:p w:rsidR="008D37FA" w:rsidRPr="00DF411E" w:rsidRDefault="005F2202" w:rsidP="008D37FA">
      <w:pPr>
        <w:pStyle w:val="Caption"/>
        <w:jc w:val="both"/>
        <w:rPr>
          <w:rFonts w:ascii="Arial" w:hAnsi="Arial" w:cs="Arial"/>
          <w:b w:val="0"/>
          <w:sz w:val="22"/>
          <w:szCs w:val="22"/>
        </w:rPr>
      </w:pPr>
      <w:r w:rsidRPr="00DF411E">
        <w:rPr>
          <w:rFonts w:ascii="Arial" w:hAnsi="Arial" w:cs="Arial"/>
          <w:b w:val="0"/>
          <w:sz w:val="22"/>
          <w:lang w:val="sr-Cyrl-CS"/>
        </w:rPr>
        <w:t>У наредној табели приказана је планирана годишња нето потрошња електричне енергије крајњих купаца које снабдијева ЗЕДП ''Електро-Бијељина'' а.д. Бијељина, исказана по категоријама потрошње дефинисаним Тарифним системом.</w:t>
      </w:r>
      <w:r w:rsidR="008D37FA" w:rsidRPr="00DF411E">
        <w:rPr>
          <w:rFonts w:ascii="Arial" w:hAnsi="Arial" w:cs="Arial"/>
          <w:b w:val="0"/>
          <w:sz w:val="22"/>
          <w:szCs w:val="22"/>
        </w:rPr>
        <w:t xml:space="preserve"> </w:t>
      </w:r>
    </w:p>
    <w:p w:rsidR="008D37FA" w:rsidRPr="00C161F7" w:rsidRDefault="008D37FA" w:rsidP="008D37FA">
      <w:pPr>
        <w:pStyle w:val="Caption"/>
        <w:rPr>
          <w:rFonts w:ascii="Arial" w:hAnsi="Arial" w:cs="Arial"/>
          <w:b w:val="0"/>
          <w:sz w:val="22"/>
          <w:szCs w:val="22"/>
          <w:highlight w:val="yellow"/>
        </w:rPr>
      </w:pPr>
    </w:p>
    <w:p w:rsidR="00375B8A" w:rsidRPr="00546307" w:rsidRDefault="00375B8A" w:rsidP="00375B8A">
      <w:pPr>
        <w:pStyle w:val="Caption"/>
        <w:rPr>
          <w:rFonts w:ascii="Arial" w:hAnsi="Arial" w:cs="Arial"/>
          <w:b w:val="0"/>
        </w:rPr>
      </w:pPr>
      <w:bookmarkStart w:id="23" w:name="_Toc500767362"/>
      <w:r w:rsidRPr="00546307">
        <w:rPr>
          <w:rFonts w:ascii="Arial" w:hAnsi="Arial" w:cs="Arial"/>
          <w:b w:val="0"/>
        </w:rPr>
        <w:t xml:space="preserve">Графикон  </w:t>
      </w:r>
      <w:r w:rsidRPr="00546307">
        <w:rPr>
          <w:rFonts w:ascii="Arial" w:hAnsi="Arial" w:cs="Arial"/>
          <w:b w:val="0"/>
        </w:rPr>
        <w:fldChar w:fldCharType="begin"/>
      </w:r>
      <w:r w:rsidRPr="00546307">
        <w:rPr>
          <w:rFonts w:ascii="Arial" w:hAnsi="Arial" w:cs="Arial"/>
          <w:b w:val="0"/>
        </w:rPr>
        <w:instrText xml:space="preserve"> SEQ Графикон_ \* ARABIC </w:instrText>
      </w:r>
      <w:r w:rsidRPr="00546307">
        <w:rPr>
          <w:rFonts w:ascii="Arial" w:hAnsi="Arial" w:cs="Arial"/>
          <w:b w:val="0"/>
        </w:rPr>
        <w:fldChar w:fldCharType="separate"/>
      </w:r>
      <w:r w:rsidR="00322822" w:rsidRPr="00546307">
        <w:rPr>
          <w:rFonts w:ascii="Arial" w:hAnsi="Arial" w:cs="Arial"/>
          <w:b w:val="0"/>
          <w:noProof/>
        </w:rPr>
        <w:t>1</w:t>
      </w:r>
      <w:r w:rsidRPr="00546307">
        <w:rPr>
          <w:rFonts w:ascii="Arial" w:hAnsi="Arial" w:cs="Arial"/>
          <w:b w:val="0"/>
        </w:rPr>
        <w:fldChar w:fldCharType="end"/>
      </w:r>
      <w:r w:rsidRPr="00546307">
        <w:rPr>
          <w:rFonts w:ascii="Arial" w:hAnsi="Arial" w:cs="Arial"/>
          <w:b w:val="0"/>
          <w:lang w:val="sr-Cyrl-CS"/>
        </w:rPr>
        <w:t xml:space="preserve"> Ребаланс</w:t>
      </w:r>
      <w:r w:rsidR="00DB56A4" w:rsidRPr="00546307">
        <w:rPr>
          <w:rFonts w:ascii="Arial" w:hAnsi="Arial" w:cs="Arial"/>
          <w:b w:val="0"/>
          <w:lang w:val="sr-Cyrl-CS"/>
        </w:rPr>
        <w:t xml:space="preserve"> структуре</w:t>
      </w:r>
      <w:r w:rsidR="00546307" w:rsidRPr="00546307">
        <w:rPr>
          <w:rFonts w:ascii="Arial" w:hAnsi="Arial" w:cs="Arial"/>
          <w:b w:val="0"/>
          <w:lang w:val="sr-Cyrl-CS"/>
        </w:rPr>
        <w:t xml:space="preserve"> нето потрошње за 201</w:t>
      </w:r>
      <w:r w:rsidR="00546307" w:rsidRPr="00546307">
        <w:rPr>
          <w:rFonts w:ascii="Arial" w:hAnsi="Arial" w:cs="Arial"/>
          <w:b w:val="0"/>
        </w:rPr>
        <w:t>8</w:t>
      </w:r>
      <w:r w:rsidRPr="00546307">
        <w:rPr>
          <w:rFonts w:ascii="Arial" w:hAnsi="Arial" w:cs="Arial"/>
          <w:b w:val="0"/>
          <w:lang w:val="sr-Cyrl-CS"/>
        </w:rPr>
        <w:t>. годину</w:t>
      </w:r>
      <w:bookmarkEnd w:id="23"/>
    </w:p>
    <w:p w:rsidR="008F4BCB" w:rsidRPr="00C161F7" w:rsidRDefault="00546307" w:rsidP="008F4BCB">
      <w:pPr>
        <w:rPr>
          <w:highlight w:val="yellow"/>
          <w:lang w:val="sr-Cyrl-BA"/>
        </w:rPr>
      </w:pPr>
      <w:r>
        <w:rPr>
          <w:noProof/>
        </w:rPr>
        <w:drawing>
          <wp:inline distT="0" distB="0" distL="0" distR="0" wp14:anchorId="7E775B9B" wp14:editId="440247DD">
            <wp:extent cx="5468620" cy="310324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310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4294" w:rsidRPr="00C161F7" w:rsidRDefault="00074294" w:rsidP="00074294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074294" w:rsidRPr="00E9686F" w:rsidRDefault="005F2202" w:rsidP="00074294">
      <w:pPr>
        <w:jc w:val="both"/>
        <w:rPr>
          <w:rFonts w:ascii="Arial" w:hAnsi="Arial" w:cs="Arial"/>
          <w:sz w:val="22"/>
          <w:highlight w:val="yellow"/>
        </w:rPr>
        <w:sectPr w:rsidR="00074294" w:rsidRPr="00E9686F" w:rsidSect="00524A0C">
          <w:type w:val="continuous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  <w:r w:rsidRPr="00C161F7">
        <w:rPr>
          <w:rFonts w:ascii="Arial" w:hAnsi="Arial" w:cs="Arial"/>
          <w:sz w:val="22"/>
          <w:highlight w:val="yellow"/>
          <w:lang w:val="sr-Cyrl-CS"/>
        </w:rPr>
        <w:t xml:space="preserve"> </w:t>
      </w:r>
    </w:p>
    <w:p w:rsidR="004874E0" w:rsidRDefault="00375B8A" w:rsidP="00375B8A">
      <w:pPr>
        <w:pStyle w:val="Caption"/>
        <w:rPr>
          <w:rFonts w:ascii="Arial" w:hAnsi="Arial" w:cs="Arial"/>
          <w:b w:val="0"/>
          <w:szCs w:val="22"/>
        </w:rPr>
      </w:pPr>
      <w:bookmarkStart w:id="24" w:name="_Toc500767351"/>
      <w:r w:rsidRPr="00E9686F">
        <w:rPr>
          <w:rFonts w:ascii="Arial" w:hAnsi="Arial" w:cs="Arial"/>
          <w:b w:val="0"/>
        </w:rPr>
        <w:lastRenderedPageBreak/>
        <w:t xml:space="preserve">Табела </w:t>
      </w:r>
      <w:r w:rsidRPr="00E9686F">
        <w:rPr>
          <w:rFonts w:ascii="Arial" w:hAnsi="Arial" w:cs="Arial"/>
          <w:b w:val="0"/>
        </w:rPr>
        <w:fldChar w:fldCharType="begin"/>
      </w:r>
      <w:r w:rsidRPr="00E9686F">
        <w:rPr>
          <w:rFonts w:ascii="Arial" w:hAnsi="Arial" w:cs="Arial"/>
          <w:b w:val="0"/>
        </w:rPr>
        <w:instrText xml:space="preserve"> SEQ Табела \* ARABIC </w:instrText>
      </w:r>
      <w:r w:rsidRPr="00E9686F">
        <w:rPr>
          <w:rFonts w:ascii="Arial" w:hAnsi="Arial" w:cs="Arial"/>
          <w:b w:val="0"/>
        </w:rPr>
        <w:fldChar w:fldCharType="separate"/>
      </w:r>
      <w:r w:rsidR="00322822" w:rsidRPr="00E9686F">
        <w:rPr>
          <w:rFonts w:ascii="Arial" w:hAnsi="Arial" w:cs="Arial"/>
          <w:b w:val="0"/>
          <w:noProof/>
        </w:rPr>
        <w:t>2</w:t>
      </w:r>
      <w:r w:rsidRPr="00E9686F">
        <w:rPr>
          <w:rFonts w:ascii="Arial" w:hAnsi="Arial" w:cs="Arial"/>
          <w:b w:val="0"/>
        </w:rPr>
        <w:fldChar w:fldCharType="end"/>
      </w:r>
      <w:r w:rsidRPr="00E9686F">
        <w:rPr>
          <w:rFonts w:ascii="Arial" w:hAnsi="Arial" w:cs="Arial"/>
          <w:b w:val="0"/>
          <w:szCs w:val="22"/>
          <w:lang w:val="sr-Cyrl-BA"/>
        </w:rPr>
        <w:t xml:space="preserve">  Ребаланс </w:t>
      </w:r>
      <w:r w:rsidRPr="00E9686F">
        <w:rPr>
          <w:rFonts w:ascii="Arial" w:hAnsi="Arial" w:cs="Arial"/>
          <w:b w:val="0"/>
          <w:szCs w:val="22"/>
          <w:lang w:val="sr-Cyrl-CS"/>
        </w:rPr>
        <w:t>Електроенергетског биланса ЗЕДП ''Електро-Бијељина'' а.д. Бијељина за 20</w:t>
      </w:r>
      <w:r w:rsidRPr="00E9686F">
        <w:rPr>
          <w:rFonts w:ascii="Arial" w:hAnsi="Arial" w:cs="Arial"/>
          <w:b w:val="0"/>
          <w:szCs w:val="22"/>
        </w:rPr>
        <w:t>1</w:t>
      </w:r>
      <w:r w:rsidR="00E9686F" w:rsidRPr="00E9686F">
        <w:rPr>
          <w:rFonts w:ascii="Arial" w:hAnsi="Arial" w:cs="Arial"/>
          <w:b w:val="0"/>
          <w:szCs w:val="22"/>
        </w:rPr>
        <w:t>8</w:t>
      </w:r>
      <w:r w:rsidRPr="00E9686F">
        <w:rPr>
          <w:rFonts w:ascii="Arial" w:hAnsi="Arial" w:cs="Arial"/>
          <w:b w:val="0"/>
          <w:szCs w:val="22"/>
          <w:lang w:val="sr-Cyrl-CS"/>
        </w:rPr>
        <w:t xml:space="preserve">. </w:t>
      </w:r>
      <w:r w:rsidR="004874E0">
        <w:rPr>
          <w:rFonts w:ascii="Arial" w:hAnsi="Arial" w:cs="Arial"/>
          <w:b w:val="0"/>
          <w:szCs w:val="22"/>
          <w:lang w:val="sr-Cyrl-CS"/>
        </w:rPr>
        <w:t>г</w:t>
      </w:r>
      <w:r w:rsidRPr="00E9686F">
        <w:rPr>
          <w:rFonts w:ascii="Arial" w:hAnsi="Arial" w:cs="Arial"/>
          <w:b w:val="0"/>
          <w:szCs w:val="22"/>
          <w:lang w:val="sr-Cyrl-CS"/>
        </w:rPr>
        <w:t>одину</w:t>
      </w:r>
      <w:bookmarkEnd w:id="24"/>
    </w:p>
    <w:tbl>
      <w:tblPr>
        <w:tblW w:w="14651" w:type="dxa"/>
        <w:tblInd w:w="-459" w:type="dxa"/>
        <w:tblLook w:val="04A0" w:firstRow="1" w:lastRow="0" w:firstColumn="1" w:lastColumn="0" w:noHBand="0" w:noVBand="1"/>
      </w:tblPr>
      <w:tblGrid>
        <w:gridCol w:w="1332"/>
        <w:gridCol w:w="1346"/>
        <w:gridCol w:w="947"/>
        <w:gridCol w:w="843"/>
        <w:gridCol w:w="843"/>
        <w:gridCol w:w="843"/>
        <w:gridCol w:w="843"/>
        <w:gridCol w:w="843"/>
        <w:gridCol w:w="928"/>
        <w:gridCol w:w="928"/>
        <w:gridCol w:w="895"/>
        <w:gridCol w:w="895"/>
        <w:gridCol w:w="895"/>
        <w:gridCol w:w="895"/>
        <w:gridCol w:w="1365"/>
        <w:gridCol w:w="10"/>
      </w:tblGrid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GWh</w:t>
            </w:r>
          </w:p>
        </w:tc>
        <w:tc>
          <w:tcPr>
            <w:tcW w:w="947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28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3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839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464" w:type="dxa"/>
            <w:tcBorders>
              <w:top w:val="double" w:sz="6" w:space="0" w:color="auto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(I-XII)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4E0">
              <w:rPr>
                <w:rFonts w:ascii="Arial" w:hAnsi="Arial" w:cs="Arial"/>
                <w:sz w:val="20"/>
                <w:szCs w:val="20"/>
              </w:rPr>
              <w:t>Са преносне мреже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56,78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53,21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56,90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44,88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43,11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46,73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46,76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45,66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51,04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51,50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59,29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599,85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4E0">
              <w:rPr>
                <w:rFonts w:ascii="Arial" w:hAnsi="Arial" w:cs="Arial"/>
                <w:sz w:val="20"/>
                <w:szCs w:val="20"/>
              </w:rPr>
              <w:t>Испорука другим системима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-1,31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-1,15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-1,33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-1,25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-1,20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-1,40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-7,74</w:t>
            </w:r>
          </w:p>
        </w:tc>
      </w:tr>
      <w:tr w:rsidR="004874E0" w:rsidRPr="004874E0" w:rsidTr="005750AD">
        <w:trPr>
          <w:gridAfter w:val="1"/>
          <w:wAfter w:w="10" w:type="dxa"/>
          <w:trHeight w:val="618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4E0">
              <w:rPr>
                <w:rFonts w:ascii="Arial" w:hAnsi="Arial" w:cs="Arial"/>
                <w:sz w:val="20"/>
                <w:szCs w:val="20"/>
              </w:rPr>
              <w:t>Производња на дистибутивном нивоу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2,04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2,57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1,70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1,38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2,44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2,88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3,31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26,95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74E0">
              <w:rPr>
                <w:rFonts w:ascii="Arial" w:hAnsi="Arial" w:cs="Arial"/>
                <w:sz w:val="20"/>
                <w:szCs w:val="20"/>
              </w:rPr>
              <w:t>Из других система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9,88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9,24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8,68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8,91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8,88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8,76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8,81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8,91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9,36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10,11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109,63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потрошња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67,55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67,64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54,87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52,69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57,07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56,92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56,46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62,57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63,72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72,69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728,69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1332" w:type="dxa"/>
            <w:vMerge w:val="restart"/>
            <w:tcBorders>
              <w:top w:val="nil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Губици</w:t>
            </w: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GWh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5,90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5,28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4,11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3,58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5,39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5,88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6,36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7,32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7,71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8,86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69,59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1332" w:type="dxa"/>
            <w:vMerge/>
            <w:tcBorders>
              <w:top w:val="nil"/>
              <w:left w:val="double" w:sz="6" w:space="0" w:color="auto"/>
              <w:bottom w:val="double" w:sz="6" w:space="0" w:color="548DD4"/>
              <w:right w:val="double" w:sz="6" w:space="0" w:color="548DD4"/>
            </w:tcBorders>
            <w:vAlign w:val="center"/>
            <w:hideMark/>
          </w:tcPr>
          <w:p w:rsidR="004874E0" w:rsidRPr="004874E0" w:rsidRDefault="004874E0" w:rsidP="00487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8,44%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9,18%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7,66%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6,03%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7,52%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6,62%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9,44%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10,33%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11,26%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11,70%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12,10%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12,19%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9,45%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Нето потрошња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61,74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57,20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62,36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51,49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49,30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49,10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51,68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51,04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55,25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56,01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63,83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000000" w:fill="C6D9F1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659,09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Средњи напон (1+2)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15,39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15,07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16,59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15,28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15,05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15,44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14,90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182,22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1. 35 kV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3,24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2,83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2,87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3,32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3,09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3,10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37,62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2. 10 kV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12,15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13,72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11,61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12,35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11,80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144,61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Ниски напон (3+4+5+6)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46,34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42,13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45,76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36,21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34,25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33,66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36,78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35,20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40,35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41,11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48,93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476,87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3. Домаћинства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35,62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32,22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35,42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28,73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27,23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26,13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28,84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28,45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27,62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31,60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31,77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37,64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371,27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4. 0,4 kV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9,11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6,62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6,28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6,85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7,28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6,93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6,68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9,57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92,30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5. Јавна расвјета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1,22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0,60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0,58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0,78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1,11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10,63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6. Потрошња у вл. објектима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0,39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0,37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0,07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2,67</w:t>
            </w:r>
          </w:p>
        </w:tc>
      </w:tr>
      <w:tr w:rsidR="004874E0" w:rsidRPr="004874E0" w:rsidTr="005750AD">
        <w:trPr>
          <w:trHeight w:val="331"/>
        </w:trPr>
        <w:tc>
          <w:tcPr>
            <w:tcW w:w="14651" w:type="dxa"/>
            <w:gridSpan w:val="16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Директни потрошач са 110 kV којег снабдијева дистрибуција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GWh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548DD4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XII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548DD4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(I-XII)</w:t>
            </w:r>
          </w:p>
        </w:tc>
      </w:tr>
      <w:tr w:rsidR="004874E0" w:rsidRPr="004874E0" w:rsidTr="005750AD">
        <w:trPr>
          <w:gridAfter w:val="1"/>
          <w:wAfter w:w="10" w:type="dxa"/>
          <w:trHeight w:val="346"/>
        </w:trPr>
        <w:tc>
          <w:tcPr>
            <w:tcW w:w="2791" w:type="dxa"/>
            <w:gridSpan w:val="2"/>
            <w:tcBorders>
              <w:top w:val="double" w:sz="6" w:space="0" w:color="548DD4"/>
              <w:left w:val="double" w:sz="6" w:space="0" w:color="auto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"Алумина" д.о.о. Зворник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8,16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7,83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8,78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8,98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8,89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928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8,62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8,26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8,06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6,71</w:t>
            </w:r>
          </w:p>
        </w:tc>
        <w:tc>
          <w:tcPr>
            <w:tcW w:w="839" w:type="dxa"/>
            <w:tcBorders>
              <w:top w:val="nil"/>
              <w:left w:val="nil"/>
              <w:bottom w:val="double" w:sz="6" w:space="0" w:color="auto"/>
              <w:right w:val="double" w:sz="6" w:space="0" w:color="548DD4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color w:val="000000"/>
                <w:sz w:val="20"/>
                <w:szCs w:val="20"/>
              </w:rPr>
              <w:t>6,98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4874E0" w:rsidRPr="004874E0" w:rsidRDefault="004874E0" w:rsidP="004874E0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874E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97,16</w:t>
            </w:r>
          </w:p>
        </w:tc>
      </w:tr>
    </w:tbl>
    <w:p w:rsidR="005A77A9" w:rsidRPr="00E9686F" w:rsidRDefault="005A77A9" w:rsidP="00375B8A">
      <w:pPr>
        <w:pStyle w:val="Caption"/>
        <w:rPr>
          <w:rFonts w:ascii="Arial" w:hAnsi="Arial" w:cs="Arial"/>
          <w:b w:val="0"/>
          <w:szCs w:val="22"/>
        </w:rPr>
      </w:pPr>
      <w:r w:rsidRPr="00E9686F">
        <w:rPr>
          <w:rFonts w:ascii="Arial" w:hAnsi="Arial" w:cs="Arial"/>
          <w:b w:val="0"/>
          <w:szCs w:val="22"/>
        </w:rPr>
        <w:t xml:space="preserve"> </w:t>
      </w:r>
      <w:r w:rsidRPr="00E9686F">
        <w:rPr>
          <w:rFonts w:ascii="Arial" w:hAnsi="Arial" w:cs="Arial"/>
          <w:b w:val="0"/>
          <w:szCs w:val="22"/>
          <w:lang w:val="sr-Latn-C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E9686F">
        <w:rPr>
          <w:rFonts w:ascii="Arial" w:hAnsi="Arial" w:cs="Arial"/>
          <w:b w:val="0"/>
          <w:szCs w:val="22"/>
          <w:lang w:val="sr-Cyrl-CS"/>
        </w:rPr>
        <w:t xml:space="preserve">               </w:t>
      </w:r>
      <w:r w:rsidRPr="00E9686F">
        <w:rPr>
          <w:rFonts w:ascii="Arial" w:hAnsi="Arial" w:cs="Arial"/>
          <w:b w:val="0"/>
          <w:szCs w:val="22"/>
          <w:lang w:val="sr-Latn-CS"/>
        </w:rPr>
        <w:t xml:space="preserve">                         </w:t>
      </w:r>
      <w:r w:rsidRPr="00E9686F">
        <w:rPr>
          <w:rFonts w:ascii="Arial" w:hAnsi="Arial" w:cs="Arial"/>
          <w:b w:val="0"/>
          <w:szCs w:val="22"/>
          <w:lang w:val="sr-Cyrl-CS"/>
        </w:rPr>
        <w:t xml:space="preserve">                            </w:t>
      </w:r>
    </w:p>
    <w:p w:rsidR="005A77A9" w:rsidRPr="00E9686F" w:rsidRDefault="005A77A9" w:rsidP="005A77A9">
      <w:pPr>
        <w:ind w:left="-180"/>
        <w:jc w:val="both"/>
        <w:rPr>
          <w:rFonts w:ascii="Arial" w:hAnsi="Arial" w:cs="Arial"/>
          <w:sz w:val="22"/>
          <w:szCs w:val="20"/>
          <w:lang w:val="sr-Latn-CS"/>
        </w:rPr>
      </w:pPr>
    </w:p>
    <w:p w:rsidR="005A77A9" w:rsidRPr="00E9686F" w:rsidRDefault="005A77A9" w:rsidP="00A65C84">
      <w:pPr>
        <w:jc w:val="center"/>
        <w:rPr>
          <w:rFonts w:ascii="Arial" w:hAnsi="Arial" w:cs="Arial"/>
          <w:b/>
          <w:sz w:val="22"/>
          <w:highlight w:val="yellow"/>
          <w:lang w:val="sr-Latn-RS"/>
        </w:rPr>
        <w:sectPr w:rsidR="005A77A9" w:rsidRPr="00E9686F" w:rsidSect="00524A0C">
          <w:type w:val="continuous"/>
          <w:pgSz w:w="15840" w:h="12240" w:orient="landscape" w:code="1"/>
          <w:pgMar w:top="1440" w:right="1440" w:bottom="1440" w:left="1440" w:header="706" w:footer="706" w:gutter="0"/>
          <w:cols w:space="708"/>
          <w:docGrid w:linePitch="360"/>
        </w:sectPr>
      </w:pPr>
    </w:p>
    <w:p w:rsidR="00074294" w:rsidRPr="004874E0" w:rsidRDefault="002F1DFB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25" w:name="_Toc481062253"/>
      <w:bookmarkStart w:id="26" w:name="_Toc500762416"/>
      <w:r w:rsidRPr="004874E0">
        <w:rPr>
          <w:rFonts w:ascii="Arial" w:hAnsi="Arial" w:cs="Arial"/>
          <w:sz w:val="22"/>
          <w:u w:val="single"/>
        </w:rPr>
        <w:lastRenderedPageBreak/>
        <w:t>Дистрибутивни губици електричне енергије</w:t>
      </w:r>
      <w:bookmarkEnd w:id="25"/>
      <w:bookmarkEnd w:id="26"/>
    </w:p>
    <w:p w:rsidR="00EB0E84" w:rsidRPr="004874E0" w:rsidRDefault="00EB0E84" w:rsidP="00EB0E84">
      <w:pPr>
        <w:rPr>
          <w:lang w:val="sr-Cyrl-CS"/>
        </w:rPr>
      </w:pPr>
    </w:p>
    <w:p w:rsidR="002F1DFB" w:rsidRPr="004874E0" w:rsidRDefault="00074294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 w:rsidRPr="004874E0">
        <w:rPr>
          <w:rFonts w:ascii="Arial" w:hAnsi="Arial" w:cs="Arial"/>
          <w:sz w:val="22"/>
          <w:szCs w:val="20"/>
          <w:lang w:val="sr-Cyrl-BA"/>
        </w:rPr>
        <w:t>П</w:t>
      </w:r>
      <w:r w:rsidR="002F1DFB" w:rsidRPr="004874E0">
        <w:rPr>
          <w:rFonts w:ascii="Arial" w:hAnsi="Arial" w:cs="Arial"/>
          <w:sz w:val="22"/>
          <w:szCs w:val="20"/>
          <w:lang w:val="sr-Cyrl-BA"/>
        </w:rPr>
        <w:t xml:space="preserve">рема узроку настанка, губитке у електроенергетском систему можемо подијелити у двије основне групе: техничке и нетехничке (комерцијалне) губитке. </w:t>
      </w:r>
    </w:p>
    <w:p w:rsidR="002F1DFB" w:rsidRPr="004874E0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 w:rsidRPr="004874E0">
        <w:rPr>
          <w:rFonts w:ascii="Arial" w:hAnsi="Arial" w:cs="Arial"/>
          <w:sz w:val="22"/>
          <w:szCs w:val="20"/>
          <w:lang w:val="sr-Cyrl-BA"/>
        </w:rPr>
        <w:t>Технички губици су одређени стањем и нивоом одржавања електроенергетског система (конфигурацијом мреже, бројем система трансформације, параметрима водова и трансформатора, структуром и локацијом извора и потрошача, структуром потрошње електричне енергије и сл.) и представљају наизбјежну последицу физич</w:t>
      </w:r>
      <w:r w:rsidR="00C43362" w:rsidRPr="004874E0">
        <w:rPr>
          <w:rFonts w:ascii="Arial" w:hAnsi="Arial" w:cs="Arial"/>
          <w:sz w:val="22"/>
          <w:szCs w:val="20"/>
          <w:lang w:val="sr-Cyrl-BA"/>
        </w:rPr>
        <w:t>ког процеса у електроенергетски</w:t>
      </w:r>
      <w:r w:rsidRPr="004874E0">
        <w:rPr>
          <w:rFonts w:ascii="Arial" w:hAnsi="Arial" w:cs="Arial"/>
          <w:sz w:val="22"/>
          <w:szCs w:val="20"/>
          <w:lang w:val="sr-Cyrl-BA"/>
        </w:rPr>
        <w:t>м</w:t>
      </w:r>
      <w:r w:rsidR="00C43362" w:rsidRPr="004874E0">
        <w:rPr>
          <w:rFonts w:ascii="Arial" w:hAnsi="Arial" w:cs="Arial"/>
          <w:sz w:val="22"/>
          <w:szCs w:val="20"/>
          <w:lang w:val="sr-Latn-BA"/>
        </w:rPr>
        <w:t xml:space="preserve"> </w:t>
      </w:r>
      <w:r w:rsidRPr="004874E0">
        <w:rPr>
          <w:rFonts w:ascii="Arial" w:hAnsi="Arial" w:cs="Arial"/>
          <w:sz w:val="22"/>
          <w:szCs w:val="20"/>
          <w:lang w:val="sr-Cyrl-BA"/>
        </w:rPr>
        <w:t xml:space="preserve">водовима и трансформаторима. </w:t>
      </w:r>
    </w:p>
    <w:p w:rsidR="00074294" w:rsidRPr="004874E0" w:rsidRDefault="002F1DFB" w:rsidP="002F1DFB">
      <w:pPr>
        <w:spacing w:after="200" w:line="276" w:lineRule="auto"/>
        <w:jc w:val="both"/>
        <w:rPr>
          <w:rFonts w:ascii="Arial" w:hAnsi="Arial" w:cs="Arial"/>
          <w:sz w:val="22"/>
          <w:szCs w:val="20"/>
          <w:lang w:val="sr-Cyrl-BA"/>
        </w:rPr>
      </w:pPr>
      <w:r w:rsidRPr="004874E0">
        <w:rPr>
          <w:rFonts w:ascii="Arial" w:hAnsi="Arial" w:cs="Arial"/>
          <w:sz w:val="22"/>
          <w:szCs w:val="20"/>
          <w:lang w:val="sr-Cyrl-BA"/>
        </w:rPr>
        <w:t xml:space="preserve">Нетехнички (комерцијални) губици су последица крађе електричне енергије, али и непрецизности мјерења, неистовремености очитања, нетачности очитања и слично. </w:t>
      </w:r>
    </w:p>
    <w:p w:rsidR="005A77A9" w:rsidRDefault="00375B8A" w:rsidP="00375B8A">
      <w:pPr>
        <w:pStyle w:val="Caption"/>
        <w:rPr>
          <w:rFonts w:ascii="Arial" w:hAnsi="Arial" w:cs="Arial"/>
          <w:b w:val="0"/>
        </w:rPr>
      </w:pPr>
      <w:bookmarkStart w:id="27" w:name="_Toc500767352"/>
      <w:r w:rsidRPr="004874E0">
        <w:rPr>
          <w:rFonts w:ascii="Arial" w:hAnsi="Arial" w:cs="Arial"/>
          <w:b w:val="0"/>
        </w:rPr>
        <w:t xml:space="preserve">Табела </w:t>
      </w:r>
      <w:r w:rsidRPr="004874E0">
        <w:rPr>
          <w:rFonts w:ascii="Arial" w:hAnsi="Arial" w:cs="Arial"/>
          <w:b w:val="0"/>
        </w:rPr>
        <w:fldChar w:fldCharType="begin"/>
      </w:r>
      <w:r w:rsidRPr="004874E0">
        <w:rPr>
          <w:rFonts w:ascii="Arial" w:hAnsi="Arial" w:cs="Arial"/>
          <w:b w:val="0"/>
        </w:rPr>
        <w:instrText xml:space="preserve"> SEQ Табела \* ARABIC </w:instrText>
      </w:r>
      <w:r w:rsidRPr="004874E0">
        <w:rPr>
          <w:rFonts w:ascii="Arial" w:hAnsi="Arial" w:cs="Arial"/>
          <w:b w:val="0"/>
        </w:rPr>
        <w:fldChar w:fldCharType="separate"/>
      </w:r>
      <w:r w:rsidR="00322822" w:rsidRPr="004874E0">
        <w:rPr>
          <w:rFonts w:ascii="Arial" w:hAnsi="Arial" w:cs="Arial"/>
          <w:b w:val="0"/>
          <w:noProof/>
        </w:rPr>
        <w:t>3</w:t>
      </w:r>
      <w:r w:rsidRPr="004874E0">
        <w:rPr>
          <w:rFonts w:ascii="Arial" w:hAnsi="Arial" w:cs="Arial"/>
          <w:b w:val="0"/>
        </w:rPr>
        <w:fldChar w:fldCharType="end"/>
      </w:r>
      <w:r w:rsidRPr="004874E0">
        <w:rPr>
          <w:rFonts w:ascii="Arial" w:hAnsi="Arial" w:cs="Arial"/>
          <w:b w:val="0"/>
          <w:lang w:val="sr-Cyrl-BA"/>
        </w:rPr>
        <w:t xml:space="preserve"> - </w:t>
      </w:r>
      <w:r w:rsidRPr="004874E0">
        <w:rPr>
          <w:rFonts w:ascii="Arial" w:hAnsi="Arial" w:cs="Arial"/>
          <w:b w:val="0"/>
          <w:lang w:val="sr-Cyrl-CS"/>
        </w:rPr>
        <w:t>Упоредни показатељ</w:t>
      </w:r>
      <w:r w:rsidRPr="004874E0">
        <w:rPr>
          <w:rFonts w:ascii="Arial" w:hAnsi="Arial" w:cs="Arial"/>
          <w:b w:val="0"/>
          <w:lang w:val="sr-Cyrl-RS"/>
        </w:rPr>
        <w:t>и</w:t>
      </w:r>
      <w:bookmarkEnd w:id="27"/>
    </w:p>
    <w:tbl>
      <w:tblPr>
        <w:tblW w:w="9120" w:type="dxa"/>
        <w:tblInd w:w="85" w:type="dxa"/>
        <w:tblLook w:val="04A0" w:firstRow="1" w:lastRow="0" w:firstColumn="1" w:lastColumn="0" w:noHBand="0" w:noVBand="1"/>
      </w:tblPr>
      <w:tblGrid>
        <w:gridCol w:w="1099"/>
        <w:gridCol w:w="2493"/>
        <w:gridCol w:w="1292"/>
        <w:gridCol w:w="1105"/>
        <w:gridCol w:w="1311"/>
        <w:gridCol w:w="910"/>
        <w:gridCol w:w="910"/>
      </w:tblGrid>
      <w:tr w:rsidR="00257A42" w:rsidRPr="00257A42" w:rsidTr="00257A42">
        <w:trPr>
          <w:trHeight w:val="840"/>
        </w:trPr>
        <w:tc>
          <w:tcPr>
            <w:tcW w:w="39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Остварено у 2017. години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 2018.год.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 2018.год.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4/2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4/3</w:t>
            </w:r>
          </w:p>
        </w:tc>
      </w:tr>
      <w:tr w:rsidR="00257A42" w:rsidRPr="00257A42" w:rsidTr="00257A42">
        <w:trPr>
          <w:trHeight w:val="330"/>
        </w:trPr>
        <w:tc>
          <w:tcPr>
            <w:tcW w:w="39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257A42" w:rsidRPr="00257A42" w:rsidTr="00257A42">
        <w:trPr>
          <w:trHeight w:val="330"/>
        </w:trPr>
        <w:tc>
          <w:tcPr>
            <w:tcW w:w="11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Преузета енергија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Са преносне мреже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704,60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743,09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697,01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Испорука другим системима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-7,74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A4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57A42">
              <w:rPr>
                <w:rFonts w:ascii="Calibri" w:hAnsi="Calibri" w:cs="Calibri"/>
                <w:color w:val="000000"/>
                <w:sz w:val="22"/>
                <w:szCs w:val="22"/>
              </w:rPr>
              <w:t>#DIV/0!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Производња у МХЕ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13,07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27,28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26,95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Из других система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103,19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54,73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109,63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257A42" w:rsidRPr="00257A42" w:rsidTr="00257A42">
        <w:trPr>
          <w:trHeight w:val="330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потрошња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820,86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825,09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825,85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257A42" w:rsidRPr="00257A42" w:rsidTr="00257A42">
        <w:trPr>
          <w:trHeight w:val="330"/>
        </w:trPr>
        <w:tc>
          <w:tcPr>
            <w:tcW w:w="112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ГУБИЦИ</w:t>
            </w:r>
          </w:p>
        </w:tc>
        <w:tc>
          <w:tcPr>
            <w:tcW w:w="28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GWh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58,16</w:t>
            </w:r>
          </w:p>
        </w:tc>
        <w:tc>
          <w:tcPr>
            <w:tcW w:w="9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82,46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69,59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са 110 kV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CE5D58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E5D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8,35</w:t>
            </w:r>
            <w:r w:rsidR="00257A42" w:rsidRPr="00CE5D5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CE5D58" w:rsidP="00CE5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118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CE5D58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% без 110 kV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8,04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CE5D58" w:rsidP="00CE5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</w:t>
            </w:r>
            <w:r w:rsidR="00257A42"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9,45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</w:tr>
      <w:tr w:rsidR="00257A42" w:rsidRPr="00257A42" w:rsidTr="00257A42">
        <w:trPr>
          <w:trHeight w:val="330"/>
        </w:trPr>
        <w:tc>
          <w:tcPr>
            <w:tcW w:w="11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РЕАЛИЗАЦИЈА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Нето потрошња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762,70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742,63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756,26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BE5F1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</w:tr>
      <w:tr w:rsidR="00257A42" w:rsidRPr="00257A42" w:rsidTr="00257A42">
        <w:trPr>
          <w:trHeight w:val="330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 35 kV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10 kV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147,31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141,60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144,61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Домаћинства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373,90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374,47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371,27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0.4 kV ост. потрошња*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95,31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94,05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94,97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 xml:space="preserve"> Јавна расвјета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10,99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10,92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257A42" w:rsidRPr="00257A42" w:rsidTr="00257A42">
        <w:trPr>
          <w:trHeight w:val="315"/>
        </w:trPr>
        <w:tc>
          <w:tcPr>
            <w:tcW w:w="11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Директни потрошач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97,67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84,39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97,16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7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57A42" w:rsidRPr="00257A42" w:rsidRDefault="00257A42" w:rsidP="00257A4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7A42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</w:tbl>
    <w:p w:rsidR="00257A42" w:rsidRPr="00257A42" w:rsidRDefault="00257A42" w:rsidP="00257A42"/>
    <w:p w:rsidR="0096467F" w:rsidRPr="00C161F7" w:rsidRDefault="0096467F" w:rsidP="005A77A9">
      <w:pPr>
        <w:keepNext/>
        <w:jc w:val="center"/>
        <w:outlineLvl w:val="0"/>
        <w:rPr>
          <w:rFonts w:ascii="Arial" w:hAnsi="Arial" w:cs="Arial"/>
          <w:b/>
          <w:sz w:val="20"/>
          <w:szCs w:val="20"/>
          <w:highlight w:val="yellow"/>
          <w:lang w:val="sr-Latn-RS"/>
        </w:rPr>
      </w:pPr>
    </w:p>
    <w:p w:rsidR="0078358D" w:rsidRPr="00C161F7" w:rsidRDefault="0078358D" w:rsidP="002F1219">
      <w:pPr>
        <w:rPr>
          <w:sz w:val="20"/>
          <w:szCs w:val="20"/>
          <w:highlight w:val="yellow"/>
          <w:lang w:val="sr-Cyrl-CS"/>
        </w:rPr>
      </w:pPr>
    </w:p>
    <w:p w:rsidR="005A77A9" w:rsidRPr="00C161F7" w:rsidRDefault="005A77A9" w:rsidP="005A77A9">
      <w:pPr>
        <w:tabs>
          <w:tab w:val="left" w:pos="1470"/>
        </w:tabs>
        <w:rPr>
          <w:sz w:val="20"/>
          <w:highlight w:val="yellow"/>
          <w:lang w:val="sr-Cyrl-RS"/>
        </w:rPr>
      </w:pPr>
    </w:p>
    <w:p w:rsidR="007C42BA" w:rsidRPr="00C161F7" w:rsidRDefault="007C42BA" w:rsidP="007C42BA">
      <w:pPr>
        <w:pStyle w:val="Caption"/>
        <w:rPr>
          <w:rFonts w:ascii="Arial" w:hAnsi="Arial" w:cs="Arial"/>
          <w:b w:val="0"/>
          <w:sz w:val="22"/>
          <w:szCs w:val="22"/>
          <w:highlight w:val="yellow"/>
        </w:rPr>
      </w:pPr>
    </w:p>
    <w:p w:rsidR="0078358D" w:rsidRPr="00C161F7" w:rsidRDefault="0078358D" w:rsidP="0078358D">
      <w:pPr>
        <w:rPr>
          <w:highlight w:val="yellow"/>
        </w:rPr>
      </w:pPr>
    </w:p>
    <w:p w:rsidR="0078358D" w:rsidRPr="00C161F7" w:rsidRDefault="0078358D" w:rsidP="0078358D">
      <w:pPr>
        <w:rPr>
          <w:highlight w:val="yellow"/>
        </w:rPr>
      </w:pPr>
    </w:p>
    <w:p w:rsidR="0078358D" w:rsidRPr="00D233A6" w:rsidRDefault="00D62DB6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szCs w:val="22"/>
          <w:u w:val="single"/>
          <w:lang w:val="sr-Latn-CS"/>
        </w:rPr>
      </w:pPr>
      <w:bookmarkStart w:id="28" w:name="_Toc481062254"/>
      <w:bookmarkStart w:id="29" w:name="_Toc500762417"/>
      <w:r w:rsidRPr="00D233A6">
        <w:rPr>
          <w:rFonts w:ascii="Arial" w:hAnsi="Arial" w:cs="Arial"/>
          <w:sz w:val="22"/>
          <w:szCs w:val="22"/>
          <w:u w:val="single"/>
        </w:rPr>
        <w:lastRenderedPageBreak/>
        <w:t>Бруто дистрибутивна потрошња</w:t>
      </w:r>
      <w:bookmarkEnd w:id="28"/>
      <w:bookmarkEnd w:id="29"/>
    </w:p>
    <w:p w:rsidR="0078358D" w:rsidRPr="00D233A6" w:rsidRDefault="0078358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78358D" w:rsidRPr="00D233A6" w:rsidRDefault="0078358D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Дистрибутивна пoтрoшња према критериjумима за израду електрoенергетскoг биланса планира се у изнoсу кojи oдгoвара oстваренoj пoтрoшњи у прoтеклoj гoдини увећанoj за прoсечну стoпу </w:t>
      </w:r>
      <w:r w:rsidR="00DD349F" w:rsidRPr="00D233A6">
        <w:rPr>
          <w:rFonts w:ascii="Arial" w:hAnsi="Arial" w:cs="Arial"/>
          <w:bCs/>
          <w:sz w:val="22"/>
          <w:szCs w:val="22"/>
          <w:lang w:val="sr-Latn-CS"/>
        </w:rPr>
        <w:t>пoраста пoтрoшње у прoтекле три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 гoдине. Oцjена jе да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ће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 Брутo пoтрoшња закључнo са 31.12.20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1</w:t>
      </w:r>
      <w:r w:rsidR="00D233A6" w:rsidRPr="00D233A6">
        <w:rPr>
          <w:rFonts w:ascii="Arial" w:hAnsi="Arial" w:cs="Arial"/>
          <w:bCs/>
          <w:sz w:val="22"/>
          <w:szCs w:val="22"/>
        </w:rPr>
        <w:t>8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. гoдине изнoсити </w:t>
      </w:r>
      <w:r w:rsidR="00D233A6" w:rsidRPr="00257A42">
        <w:rPr>
          <w:rFonts w:ascii="Arial" w:hAnsi="Arial" w:cs="Arial"/>
          <w:bCs/>
          <w:color w:val="000000"/>
          <w:sz w:val="22"/>
          <w:szCs w:val="22"/>
        </w:rPr>
        <w:t>825,85</w:t>
      </w:r>
      <w:r w:rsidR="00D233A6" w:rsidRPr="00D233A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GWh, а нетo пoтрoшња у изнoсу oд </w:t>
      </w:r>
      <w:r w:rsidR="00D233A6" w:rsidRPr="00257A42">
        <w:rPr>
          <w:rFonts w:ascii="Arial" w:hAnsi="Arial" w:cs="Arial"/>
          <w:bCs/>
          <w:color w:val="000000"/>
          <w:sz w:val="22"/>
          <w:szCs w:val="22"/>
        </w:rPr>
        <w:t>756,26</w:t>
      </w:r>
      <w:r w:rsidR="00D233A6" w:rsidRPr="00D233A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>GWh</w:t>
      </w:r>
      <w:r w:rsidR="00D62DB6" w:rsidRPr="00D233A6">
        <w:rPr>
          <w:rFonts w:ascii="Arial" w:hAnsi="Arial" w:cs="Arial"/>
          <w:bCs/>
          <w:sz w:val="22"/>
          <w:szCs w:val="22"/>
          <w:lang w:val="sr-Cyrl-BA"/>
        </w:rPr>
        <w:t>.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 xml:space="preserve"> </w:t>
      </w:r>
    </w:p>
    <w:p w:rsidR="00310B99" w:rsidRPr="00D233A6" w:rsidRDefault="00310B99" w:rsidP="0078358D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:rsidR="00310B99" w:rsidRPr="00D233A6" w:rsidRDefault="00310B99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</w:rPr>
      </w:pPr>
      <w:bookmarkStart w:id="30" w:name="_Toc481062255"/>
      <w:bookmarkStart w:id="31" w:name="_Toc500762418"/>
      <w:r w:rsidRPr="00D233A6">
        <w:rPr>
          <w:rFonts w:ascii="Arial" w:hAnsi="Arial" w:cs="Arial"/>
          <w:sz w:val="22"/>
          <w:u w:val="single"/>
        </w:rPr>
        <w:t>Производња енергије у МХЕ</w:t>
      </w:r>
      <w:bookmarkEnd w:id="30"/>
      <w:bookmarkEnd w:id="31"/>
    </w:p>
    <w:p w:rsidR="00310B99" w:rsidRPr="00D233A6" w:rsidRDefault="00310B99" w:rsidP="00310B9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310B99" w:rsidRPr="00D233A6" w:rsidRDefault="00310B99" w:rsidP="00DD349F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233A6">
        <w:rPr>
          <w:rFonts w:ascii="Arial" w:hAnsi="Arial" w:cs="Arial"/>
          <w:bCs/>
          <w:sz w:val="22"/>
          <w:szCs w:val="22"/>
          <w:lang w:val="ru-RU"/>
        </w:rPr>
        <w:t>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изв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дња електричне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у малим хидр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електранама </w:t>
      </w:r>
      <w:r w:rsidR="00DD349F" w:rsidRPr="00D233A6">
        <w:rPr>
          <w:rFonts w:ascii="Arial" w:hAnsi="Arial" w:cs="Arial"/>
          <w:bCs/>
          <w:sz w:val="22"/>
          <w:szCs w:val="22"/>
          <w:lang w:val="sr-Cyrl-CS"/>
        </w:rPr>
        <w:t>ребалансирана је на принципу изједначавања плана са остварењем за период 01.01.-30.06.201</w:t>
      </w:r>
      <w:r w:rsidR="00D233A6" w:rsidRPr="00D233A6">
        <w:rPr>
          <w:rFonts w:ascii="Arial" w:hAnsi="Arial" w:cs="Arial"/>
          <w:bCs/>
          <w:sz w:val="22"/>
          <w:szCs w:val="22"/>
        </w:rPr>
        <w:t>8</w:t>
      </w:r>
      <w:r w:rsidR="00DD349F" w:rsidRPr="00D233A6">
        <w:rPr>
          <w:rFonts w:ascii="Arial" w:hAnsi="Arial" w:cs="Arial"/>
          <w:bCs/>
          <w:sz w:val="22"/>
          <w:szCs w:val="22"/>
          <w:lang w:val="sr-Cyrl-CS"/>
        </w:rPr>
        <w:t>. и пла</w:t>
      </w:r>
      <w:r w:rsidR="00D233A6" w:rsidRPr="00D233A6">
        <w:rPr>
          <w:rFonts w:ascii="Arial" w:hAnsi="Arial" w:cs="Arial"/>
          <w:bCs/>
          <w:sz w:val="22"/>
          <w:szCs w:val="22"/>
          <w:lang w:val="sr-Cyrl-CS"/>
        </w:rPr>
        <w:t>нова за период 01.07.-31.12.201</w:t>
      </w:r>
      <w:r w:rsidR="00D233A6" w:rsidRPr="00D233A6">
        <w:rPr>
          <w:rFonts w:ascii="Arial" w:hAnsi="Arial" w:cs="Arial"/>
          <w:bCs/>
          <w:sz w:val="22"/>
          <w:szCs w:val="22"/>
        </w:rPr>
        <w:t>8</w:t>
      </w:r>
      <w:r w:rsidR="00DD349F" w:rsidRPr="00D233A6">
        <w:rPr>
          <w:rFonts w:ascii="Arial" w:hAnsi="Arial" w:cs="Arial"/>
          <w:bCs/>
          <w:sz w:val="22"/>
          <w:szCs w:val="22"/>
          <w:lang w:val="sr-Cyrl-CS"/>
        </w:rPr>
        <w:t>. године.</w:t>
      </w:r>
    </w:p>
    <w:p w:rsidR="00310B99" w:rsidRPr="00D233A6" w:rsidRDefault="00310B99" w:rsidP="00310B99">
      <w:pPr>
        <w:jc w:val="both"/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310B99" w:rsidRPr="00D233A6" w:rsidRDefault="00310B99" w:rsidP="00310B99">
      <w:pPr>
        <w:rPr>
          <w:rFonts w:ascii="Arial" w:hAnsi="Arial" w:cs="Arial"/>
          <w:bCs/>
          <w:color w:val="000000"/>
          <w:sz w:val="22"/>
          <w:szCs w:val="22"/>
          <w:lang w:val="ru-RU"/>
        </w:rPr>
      </w:pPr>
    </w:p>
    <w:p w:rsidR="00310B99" w:rsidRPr="00D233A6" w:rsidRDefault="00375B8A" w:rsidP="00375B8A">
      <w:pPr>
        <w:pStyle w:val="Caption"/>
        <w:rPr>
          <w:rFonts w:ascii="Arial" w:hAnsi="Arial" w:cs="Arial"/>
          <w:b w:val="0"/>
          <w:bCs w:val="0"/>
          <w:color w:val="000000"/>
          <w:szCs w:val="22"/>
        </w:rPr>
      </w:pPr>
      <w:bookmarkStart w:id="32" w:name="_Toc500767353"/>
      <w:r w:rsidRPr="00D233A6">
        <w:rPr>
          <w:rFonts w:ascii="Arial" w:hAnsi="Arial" w:cs="Arial"/>
          <w:b w:val="0"/>
        </w:rPr>
        <w:t xml:space="preserve">Табела </w:t>
      </w:r>
      <w:r w:rsidRPr="00D233A6">
        <w:rPr>
          <w:rFonts w:ascii="Arial" w:hAnsi="Arial" w:cs="Arial"/>
          <w:b w:val="0"/>
        </w:rPr>
        <w:fldChar w:fldCharType="begin"/>
      </w:r>
      <w:r w:rsidRPr="00D233A6">
        <w:rPr>
          <w:rFonts w:ascii="Arial" w:hAnsi="Arial" w:cs="Arial"/>
          <w:b w:val="0"/>
        </w:rPr>
        <w:instrText xml:space="preserve"> SEQ Табела \* ARABIC </w:instrText>
      </w:r>
      <w:r w:rsidRPr="00D233A6">
        <w:rPr>
          <w:rFonts w:ascii="Arial" w:hAnsi="Arial" w:cs="Arial"/>
          <w:b w:val="0"/>
        </w:rPr>
        <w:fldChar w:fldCharType="separate"/>
      </w:r>
      <w:r w:rsidR="00322822" w:rsidRPr="00D233A6">
        <w:rPr>
          <w:rFonts w:ascii="Arial" w:hAnsi="Arial" w:cs="Arial"/>
          <w:b w:val="0"/>
          <w:noProof/>
        </w:rPr>
        <w:t>4</w:t>
      </w:r>
      <w:r w:rsidRPr="00D233A6">
        <w:rPr>
          <w:rFonts w:ascii="Arial" w:hAnsi="Arial" w:cs="Arial"/>
          <w:b w:val="0"/>
        </w:rPr>
        <w:fldChar w:fldCharType="end"/>
      </w:r>
      <w:r w:rsidRPr="00D233A6">
        <w:rPr>
          <w:rFonts w:ascii="Arial" w:hAnsi="Arial" w:cs="Arial"/>
          <w:b w:val="0"/>
          <w:szCs w:val="22"/>
          <w:lang w:val="sr-Cyrl-BA"/>
        </w:rPr>
        <w:t xml:space="preserve"> Ребалансирана</w:t>
      </w:r>
      <w:r w:rsidRPr="00D233A6">
        <w:rPr>
          <w:rFonts w:ascii="Arial" w:hAnsi="Arial" w:cs="Arial"/>
          <w:b w:val="0"/>
          <w:bCs w:val="0"/>
          <w:color w:val="000000"/>
          <w:szCs w:val="22"/>
          <w:lang w:val="ru-RU"/>
        </w:rPr>
        <w:t xml:space="preserve"> пр</w:t>
      </w:r>
      <w:r w:rsidRPr="00D233A6">
        <w:rPr>
          <w:rFonts w:ascii="Arial" w:hAnsi="Arial" w:cs="Arial"/>
          <w:b w:val="0"/>
          <w:bCs w:val="0"/>
          <w:color w:val="000000"/>
          <w:szCs w:val="22"/>
        </w:rPr>
        <w:t>o</w:t>
      </w:r>
      <w:r w:rsidRPr="00D233A6">
        <w:rPr>
          <w:rFonts w:ascii="Arial" w:hAnsi="Arial" w:cs="Arial"/>
          <w:b w:val="0"/>
          <w:bCs w:val="0"/>
          <w:color w:val="000000"/>
          <w:szCs w:val="22"/>
          <w:lang w:val="ru-RU"/>
        </w:rPr>
        <w:t>изв</w:t>
      </w:r>
      <w:r w:rsidRPr="00D233A6">
        <w:rPr>
          <w:rFonts w:ascii="Arial" w:hAnsi="Arial" w:cs="Arial"/>
          <w:b w:val="0"/>
          <w:bCs w:val="0"/>
          <w:color w:val="000000"/>
          <w:szCs w:val="22"/>
        </w:rPr>
        <w:t>o</w:t>
      </w:r>
      <w:r w:rsidRPr="00D233A6">
        <w:rPr>
          <w:rFonts w:ascii="Arial" w:hAnsi="Arial" w:cs="Arial"/>
          <w:b w:val="0"/>
          <w:bCs w:val="0"/>
          <w:color w:val="000000"/>
          <w:szCs w:val="22"/>
          <w:lang w:val="ru-RU"/>
        </w:rPr>
        <w:t>дња електричне енерги</w:t>
      </w:r>
      <w:r w:rsidRPr="00D233A6">
        <w:rPr>
          <w:rFonts w:ascii="Arial" w:hAnsi="Arial" w:cs="Arial"/>
          <w:b w:val="0"/>
          <w:bCs w:val="0"/>
          <w:color w:val="000000"/>
          <w:szCs w:val="22"/>
        </w:rPr>
        <w:t>j</w:t>
      </w:r>
      <w:r w:rsidRPr="00D233A6">
        <w:rPr>
          <w:rFonts w:ascii="Arial" w:hAnsi="Arial" w:cs="Arial"/>
          <w:b w:val="0"/>
          <w:bCs w:val="0"/>
          <w:color w:val="000000"/>
          <w:szCs w:val="22"/>
          <w:lang w:val="ru-RU"/>
        </w:rPr>
        <w:t>е у хидр</w:t>
      </w:r>
      <w:r w:rsidRPr="00D233A6">
        <w:rPr>
          <w:rFonts w:ascii="Arial" w:hAnsi="Arial" w:cs="Arial"/>
          <w:b w:val="0"/>
          <w:bCs w:val="0"/>
          <w:color w:val="000000"/>
          <w:szCs w:val="22"/>
        </w:rPr>
        <w:t>o</w:t>
      </w:r>
      <w:r w:rsidRPr="00D233A6">
        <w:rPr>
          <w:rFonts w:ascii="Arial" w:hAnsi="Arial" w:cs="Arial"/>
          <w:b w:val="0"/>
          <w:bCs w:val="0"/>
          <w:color w:val="000000"/>
          <w:szCs w:val="22"/>
          <w:lang w:val="ru-RU"/>
        </w:rPr>
        <w:t>електранама</w:t>
      </w:r>
      <w:bookmarkEnd w:id="32"/>
    </w:p>
    <w:tbl>
      <w:tblPr>
        <w:tblW w:w="9060" w:type="dxa"/>
        <w:tblInd w:w="85" w:type="dxa"/>
        <w:tblLook w:val="04A0" w:firstRow="1" w:lastRow="0" w:firstColumn="1" w:lastColumn="0" w:noHBand="0" w:noVBand="1"/>
      </w:tblPr>
      <w:tblGrid>
        <w:gridCol w:w="3696"/>
        <w:gridCol w:w="1563"/>
        <w:gridCol w:w="1494"/>
        <w:gridCol w:w="1141"/>
        <w:gridCol w:w="1166"/>
      </w:tblGrid>
      <w:tr w:rsidR="006540F0" w:rsidRPr="00C161F7" w:rsidTr="006540F0">
        <w:trPr>
          <w:trHeight w:val="315"/>
        </w:trPr>
        <w:tc>
          <w:tcPr>
            <w:tcW w:w="369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ХИДРOЕЛЕКТРАНА</w:t>
            </w:r>
          </w:p>
        </w:tc>
        <w:tc>
          <w:tcPr>
            <w:tcW w:w="1563" w:type="dxa"/>
            <w:vMerge w:val="restart"/>
            <w:tcBorders>
              <w:top w:val="double" w:sz="6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Распoлoжива</w:t>
            </w:r>
          </w:p>
          <w:p w:rsidR="006540F0" w:rsidRPr="00C1508C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снага (MW)</w:t>
            </w:r>
          </w:p>
        </w:tc>
        <w:tc>
          <w:tcPr>
            <w:tcW w:w="1494" w:type="dxa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5750A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ОСТВАРЕНО       201</w:t>
            </w:r>
            <w:r w:rsidR="005750AD"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  <w:r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(GWh)</w:t>
            </w:r>
          </w:p>
        </w:tc>
        <w:tc>
          <w:tcPr>
            <w:tcW w:w="1141" w:type="dxa"/>
            <w:tcBorders>
              <w:top w:val="double" w:sz="6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16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</w:t>
            </w:r>
          </w:p>
        </w:tc>
      </w:tr>
      <w:tr w:rsidR="006540F0" w:rsidRPr="00C161F7" w:rsidTr="006540F0">
        <w:trPr>
          <w:trHeight w:val="525"/>
        </w:trPr>
        <w:tc>
          <w:tcPr>
            <w:tcW w:w="369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5750AD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</w:t>
            </w:r>
            <w:r w:rsidR="006540F0"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(GWh)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5750AD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2018</w:t>
            </w:r>
            <w:r w:rsidR="006540F0"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(GWh)</w:t>
            </w:r>
          </w:p>
        </w:tc>
      </w:tr>
      <w:tr w:rsidR="006540F0" w:rsidRPr="00C161F7" w:rsidTr="006540F0">
        <w:trPr>
          <w:trHeight w:val="330"/>
        </w:trPr>
        <w:tc>
          <w:tcPr>
            <w:tcW w:w="3696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МХЕ Власеница Гoрњи Залукoвик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0,9</w:t>
            </w:r>
            <w:r w:rsidR="00C1508C" w:rsidRPr="00C150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041749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4,90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4,73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301D98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5,31</w:t>
            </w:r>
          </w:p>
        </w:tc>
      </w:tr>
      <w:tr w:rsidR="006540F0" w:rsidRPr="00C161F7" w:rsidTr="006540F0">
        <w:trPr>
          <w:trHeight w:val="315"/>
        </w:trPr>
        <w:tc>
          <w:tcPr>
            <w:tcW w:w="36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МХЕ Тишча Власеница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2,1</w:t>
            </w:r>
            <w:r w:rsidR="00C1508C" w:rsidRPr="00C150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041749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4,65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301D98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4,91</w:t>
            </w:r>
          </w:p>
        </w:tc>
      </w:tr>
      <w:tr w:rsidR="006540F0" w:rsidRPr="00C161F7" w:rsidTr="006540F0">
        <w:trPr>
          <w:trHeight w:val="330"/>
        </w:trPr>
        <w:tc>
          <w:tcPr>
            <w:tcW w:w="36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МХЕ Јованa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B129C6" w:rsidP="000417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2,46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301D98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3,43</w:t>
            </w:r>
          </w:p>
        </w:tc>
      </w:tr>
      <w:tr w:rsidR="006540F0" w:rsidRPr="00C161F7" w:rsidTr="006540F0">
        <w:trPr>
          <w:trHeight w:val="330"/>
        </w:trPr>
        <w:tc>
          <w:tcPr>
            <w:tcW w:w="36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МХЕ Штедрић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F2251E" w:rsidP="00247C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47C31" w:rsidRPr="00C1508C">
              <w:rPr>
                <w:rFonts w:ascii="Arial" w:hAnsi="Arial" w:cs="Arial"/>
                <w:color w:val="000000"/>
                <w:sz w:val="20"/>
                <w:szCs w:val="20"/>
              </w:rPr>
              <w:t>0,85</w:t>
            </w:r>
            <w:r w:rsidR="006540F0" w:rsidRPr="00C1508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B129C6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301D98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2,61</w:t>
            </w:r>
          </w:p>
        </w:tc>
      </w:tr>
      <w:tr w:rsidR="006540F0" w:rsidRPr="00C161F7" w:rsidTr="006540F0">
        <w:trPr>
          <w:trHeight w:val="330"/>
        </w:trPr>
        <w:tc>
          <w:tcPr>
            <w:tcW w:w="36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Соларне електране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4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B17AF9" w:rsidRDefault="00B17AF9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  <w:r w:rsidR="00C1508C" w:rsidRPr="00C150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540F0" w:rsidRPr="00C1508C" w:rsidRDefault="006540F0" w:rsidP="00654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  <w:r w:rsidR="00301D98" w:rsidRPr="00C1508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6540F0" w:rsidRPr="00C161F7" w:rsidTr="006540F0">
        <w:trPr>
          <w:trHeight w:val="330"/>
        </w:trPr>
        <w:tc>
          <w:tcPr>
            <w:tcW w:w="3696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540F0" w:rsidRPr="00B17AF9" w:rsidRDefault="006540F0" w:rsidP="006540F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 К У П Н O:</w:t>
            </w:r>
          </w:p>
        </w:tc>
        <w:tc>
          <w:tcPr>
            <w:tcW w:w="156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540F0" w:rsidRPr="00C1508C" w:rsidRDefault="00247C31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4,99</w:t>
            </w:r>
          </w:p>
        </w:tc>
        <w:tc>
          <w:tcPr>
            <w:tcW w:w="149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540F0" w:rsidRPr="00B17AF9" w:rsidRDefault="00B17AF9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17A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114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16,44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0E0E0"/>
            <w:vAlign w:val="center"/>
            <w:hideMark/>
          </w:tcPr>
          <w:p w:rsidR="006540F0" w:rsidRPr="00C1508C" w:rsidRDefault="00C1508C" w:rsidP="006540F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150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16,46</w:t>
            </w:r>
          </w:p>
        </w:tc>
      </w:tr>
    </w:tbl>
    <w:p w:rsidR="006540F0" w:rsidRPr="00C161F7" w:rsidRDefault="006540F0" w:rsidP="006540F0">
      <w:pPr>
        <w:rPr>
          <w:highlight w:val="yellow"/>
        </w:rPr>
      </w:pPr>
    </w:p>
    <w:p w:rsidR="005A77A9" w:rsidRPr="00C161F7" w:rsidRDefault="005A77A9" w:rsidP="0078358D">
      <w:pPr>
        <w:keepNext/>
        <w:spacing w:line="360" w:lineRule="auto"/>
        <w:jc w:val="center"/>
        <w:outlineLvl w:val="2"/>
        <w:rPr>
          <w:rFonts w:ascii="Arial" w:hAnsi="Arial" w:cs="Arial"/>
          <w:b/>
          <w:sz w:val="22"/>
          <w:szCs w:val="22"/>
          <w:highlight w:val="yellow"/>
        </w:rPr>
      </w:pPr>
    </w:p>
    <w:p w:rsidR="005A77A9" w:rsidRPr="00D233A6" w:rsidRDefault="00310B99" w:rsidP="00EB0E84">
      <w:pPr>
        <w:pStyle w:val="Heading2"/>
        <w:numPr>
          <w:ilvl w:val="0"/>
          <w:numId w:val="31"/>
        </w:numPr>
        <w:jc w:val="left"/>
        <w:rPr>
          <w:rFonts w:ascii="Arial" w:hAnsi="Arial" w:cs="Arial"/>
          <w:sz w:val="22"/>
          <w:u w:val="single"/>
          <w:lang w:val="sr-Latn-CS"/>
        </w:rPr>
      </w:pPr>
      <w:bookmarkStart w:id="33" w:name="_Toc481062256"/>
      <w:bookmarkStart w:id="34" w:name="_Toc500762419"/>
      <w:r w:rsidRPr="00D233A6">
        <w:rPr>
          <w:rFonts w:ascii="Arial" w:hAnsi="Arial" w:cs="Arial"/>
          <w:sz w:val="22"/>
          <w:u w:val="single"/>
        </w:rPr>
        <w:t>Услови и мјере за реализацију електроенергетског биланса</w:t>
      </w:r>
      <w:bookmarkEnd w:id="33"/>
      <w:bookmarkEnd w:id="34"/>
    </w:p>
    <w:p w:rsidR="005A77A9" w:rsidRPr="00D233A6" w:rsidRDefault="005A77A9" w:rsidP="005A77A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A77A9" w:rsidRPr="00D233A6" w:rsidRDefault="005A77A9" w:rsidP="005A77A9">
      <w:pPr>
        <w:jc w:val="both"/>
        <w:rPr>
          <w:rFonts w:ascii="Arial" w:hAnsi="Arial" w:cs="Arial"/>
          <w:bCs/>
          <w:sz w:val="22"/>
          <w:szCs w:val="22"/>
        </w:rPr>
      </w:pPr>
      <w:r w:rsidRPr="00D233A6">
        <w:rPr>
          <w:rFonts w:ascii="Arial" w:hAnsi="Arial" w:cs="Arial"/>
          <w:bCs/>
          <w:sz w:val="22"/>
          <w:szCs w:val="22"/>
        </w:rPr>
        <w:t xml:space="preserve">У циљу реализациjе </w:t>
      </w:r>
      <w:r w:rsidR="008C1393" w:rsidRPr="00D233A6">
        <w:rPr>
          <w:rFonts w:ascii="Arial" w:hAnsi="Arial" w:cs="Arial"/>
          <w:bCs/>
          <w:sz w:val="22"/>
          <w:szCs w:val="22"/>
          <w:lang w:val="sr-Cyrl-BA"/>
        </w:rPr>
        <w:t>Е</w:t>
      </w:r>
      <w:r w:rsidRPr="00D233A6">
        <w:rPr>
          <w:rFonts w:ascii="Arial" w:hAnsi="Arial" w:cs="Arial"/>
          <w:bCs/>
          <w:sz w:val="22"/>
          <w:szCs w:val="22"/>
        </w:rPr>
        <w:t xml:space="preserve">лектрoенергетскoг биланса 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З</w:t>
      </w:r>
      <w:r w:rsidR="00E73DE8" w:rsidRPr="00D233A6">
        <w:rPr>
          <w:rFonts w:ascii="Arial" w:hAnsi="Arial" w:cs="Arial"/>
          <w:bCs/>
          <w:sz w:val="22"/>
          <w:szCs w:val="22"/>
        </w:rPr>
        <w:t>ЕДП “Електрo-Биjељина”</w:t>
      </w:r>
      <w:r w:rsidR="00E73DE8" w:rsidRPr="00D233A6">
        <w:rPr>
          <w:rFonts w:ascii="Arial" w:hAnsi="Arial" w:cs="Arial"/>
          <w:bCs/>
          <w:sz w:val="22"/>
          <w:szCs w:val="22"/>
          <w:lang w:val="sr-Cyrl-RS"/>
        </w:rPr>
        <w:t xml:space="preserve"> а.д. </w:t>
      </w:r>
      <w:r w:rsidR="008C1393" w:rsidRPr="00D233A6">
        <w:rPr>
          <w:rFonts w:ascii="Arial" w:hAnsi="Arial" w:cs="Arial"/>
          <w:bCs/>
          <w:sz w:val="22"/>
          <w:szCs w:val="22"/>
          <w:lang w:val="sr-Cyrl-RS"/>
        </w:rPr>
        <w:t>Бијељина,</w:t>
      </w:r>
      <w:r w:rsidRPr="00D233A6">
        <w:rPr>
          <w:rFonts w:ascii="Arial" w:hAnsi="Arial" w:cs="Arial"/>
          <w:bCs/>
          <w:sz w:val="22"/>
          <w:szCs w:val="22"/>
        </w:rPr>
        <w:t xml:space="preserve"> ради његoвoг извршења и сигурнoг снабдиjевања пoтрoшача електричнoм енергиjoм, неoпхoднo jе предузети сљедеће мjере:</w:t>
      </w:r>
    </w:p>
    <w:p w:rsidR="005A77A9" w:rsidRPr="00D233A6" w:rsidRDefault="005A77A9" w:rsidP="005A77A9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5A77A9" w:rsidRPr="00D233A6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233A6">
        <w:rPr>
          <w:rFonts w:ascii="Arial" w:hAnsi="Arial" w:cs="Arial"/>
          <w:bCs/>
          <w:sz w:val="22"/>
          <w:szCs w:val="22"/>
          <w:lang w:val="ru-RU"/>
        </w:rPr>
        <w:t>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ред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из  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енергетск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 система БиХ</w:t>
      </w:r>
      <w:r w:rsidR="00310B99" w:rsidRPr="00D233A6">
        <w:rPr>
          <w:rFonts w:ascii="Arial" w:hAnsi="Arial" w:cs="Arial"/>
          <w:bCs/>
          <w:sz w:val="22"/>
          <w:szCs w:val="22"/>
          <w:lang w:val="ru-RU"/>
        </w:rPr>
        <w:t>,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310B99" w:rsidRPr="00D233A6">
        <w:rPr>
          <w:rFonts w:ascii="Arial" w:hAnsi="Arial" w:cs="Arial"/>
          <w:bCs/>
          <w:sz w:val="22"/>
          <w:szCs w:val="22"/>
          <w:lang w:val="ru-RU"/>
        </w:rPr>
        <w:t>ЗЕДП ''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="00E73DE8" w:rsidRPr="00D233A6">
        <w:rPr>
          <w:rFonts w:ascii="Arial" w:hAnsi="Arial" w:cs="Arial"/>
          <w:bCs/>
          <w:sz w:val="22"/>
          <w:szCs w:val="22"/>
          <w:lang w:val="ru-RU"/>
        </w:rPr>
        <w:t>-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ељина</w:t>
      </w:r>
      <w:r w:rsidR="00310B99" w:rsidRPr="00D233A6">
        <w:rPr>
          <w:rFonts w:ascii="Arial" w:hAnsi="Arial" w:cs="Arial"/>
          <w:bCs/>
          <w:sz w:val="22"/>
          <w:szCs w:val="22"/>
          <w:lang w:val="ru-RU"/>
        </w:rPr>
        <w:t>'' а.д. Бијељина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ди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узима и из других сус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едних система и властите 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изв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дње у малим хидр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електранама Власеница и Тишча.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а из сус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едних система преузима се на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друч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у</w:t>
      </w:r>
      <w:r w:rsidR="00755DB5" w:rsidRPr="00D233A6">
        <w:rPr>
          <w:rFonts w:ascii="Arial" w:hAnsi="Arial" w:cs="Arial"/>
          <w:bCs/>
          <w:sz w:val="22"/>
          <w:szCs w:val="22"/>
          <w:lang w:val="ru-RU"/>
        </w:rPr>
        <w:t xml:space="preserve"> Предузећа</w:t>
      </w:r>
      <w:r w:rsidR="002B3440"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прек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35 и 10 </w:t>
      </w:r>
      <w:r w:rsidRPr="00D233A6">
        <w:rPr>
          <w:rFonts w:ascii="Arial" w:hAnsi="Arial" w:cs="Arial"/>
          <w:bCs/>
          <w:sz w:val="22"/>
          <w:szCs w:val="22"/>
          <w:lang w:val="sr-Latn-CS"/>
        </w:rPr>
        <w:t>kV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ва. 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изв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дња у малим хидр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електранама 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ред хидр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е зависи и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нске спремн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сти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еката на шт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утиче благ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времен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безб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еђивање финанси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ских средстава за текуће и инвестици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државање, резервне ди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ве, те рем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нте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ења. </w:t>
      </w:r>
    </w:p>
    <w:p w:rsidR="005A77A9" w:rsidRPr="00D233A6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5A77A9" w:rsidRPr="00D233A6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У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квиру дистрибуци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електричне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наставити са санаци</w:t>
      </w:r>
      <w:r w:rsidRPr="00D233A6">
        <w:rPr>
          <w:rFonts w:ascii="Arial" w:hAnsi="Arial" w:cs="Arial"/>
          <w:bCs/>
          <w:sz w:val="22"/>
          <w:szCs w:val="22"/>
        </w:rPr>
        <w:t>jo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м дистрибутивне мреже и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стро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ења и улагања првенствен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усм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ерити на смањење техничких губитака,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тклањање уских грла и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љшање нап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нских прилика. Так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ђе,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требн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текућим и инвестици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м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државањем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сигурати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нску </w:t>
      </w:r>
      <w:r w:rsidRPr="00D233A6">
        <w:rPr>
          <w:rFonts w:ascii="Arial" w:hAnsi="Arial" w:cs="Arial"/>
          <w:bCs/>
          <w:sz w:val="22"/>
          <w:szCs w:val="22"/>
          <w:lang w:val="ru-RU"/>
        </w:rPr>
        <w:lastRenderedPageBreak/>
        <w:t>спремн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ст дистрибутивне мреже, а тиме и сигурну исп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руку електричне 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шачима.</w:t>
      </w:r>
    </w:p>
    <w:p w:rsidR="005A77A9" w:rsidRPr="00D233A6" w:rsidRDefault="005A77A9" w:rsidP="005A77A9">
      <w:pPr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5A77A9" w:rsidRPr="00D233A6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ru-RU"/>
        </w:rPr>
      </w:pPr>
      <w:r w:rsidRPr="00D233A6">
        <w:rPr>
          <w:rFonts w:ascii="Arial" w:hAnsi="Arial" w:cs="Arial"/>
          <w:bCs/>
          <w:sz w:val="22"/>
          <w:szCs w:val="22"/>
          <w:lang w:val="ru-RU"/>
        </w:rPr>
        <w:t>Губици електричне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у дистрибутивно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мрежи су знатно смањени, а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себн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 смањен уди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нетехничких, 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мерци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="00E44A19" w:rsidRPr="00D233A6">
        <w:rPr>
          <w:rFonts w:ascii="Arial" w:hAnsi="Arial" w:cs="Arial"/>
          <w:bCs/>
          <w:sz w:val="22"/>
          <w:szCs w:val="22"/>
          <w:lang w:val="ru-RU"/>
        </w:rPr>
        <w:t xml:space="preserve">алних губитака. У </w:t>
      </w:r>
      <w:r w:rsidR="00883A14" w:rsidRPr="00D233A6">
        <w:rPr>
          <w:rFonts w:ascii="Arial" w:hAnsi="Arial" w:cs="Arial"/>
          <w:bCs/>
          <w:sz w:val="22"/>
          <w:szCs w:val="22"/>
          <w:lang w:val="ru-RU"/>
        </w:rPr>
        <w:t>201</w:t>
      </w:r>
      <w:r w:rsidR="00E44A19" w:rsidRPr="00D233A6">
        <w:rPr>
          <w:rFonts w:ascii="Arial" w:hAnsi="Arial" w:cs="Arial"/>
          <w:bCs/>
          <w:sz w:val="22"/>
          <w:szCs w:val="22"/>
          <w:lang w:val="ru-RU"/>
        </w:rPr>
        <w:t>7</w:t>
      </w:r>
      <w:r w:rsidRPr="00D233A6">
        <w:rPr>
          <w:rFonts w:ascii="Arial" w:hAnsi="Arial" w:cs="Arial"/>
          <w:bCs/>
          <w:sz w:val="22"/>
          <w:szCs w:val="22"/>
          <w:lang w:val="ru-RU"/>
        </w:rPr>
        <w:t>. 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дини не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пх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</w:t>
      </w:r>
      <w:r w:rsidR="00E44A19" w:rsidRPr="00D233A6">
        <w:rPr>
          <w:rFonts w:ascii="Arial" w:hAnsi="Arial" w:cs="Arial"/>
          <w:bCs/>
          <w:sz w:val="22"/>
          <w:szCs w:val="22"/>
          <w:lang w:val="ru-RU"/>
        </w:rPr>
        <w:t xml:space="preserve">је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и даље улагати напоре на смањењу губитака и насто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ати свести исте на реалне техничке губитке.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треба спр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вести путем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вара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ућих м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ера из 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 Акци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 плана, и т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: м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есечн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 очитавање бро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ила ради перманентн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г праћења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стварења губитака и чешћи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билазак м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ерних м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еста уз њих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ву 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нтр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лу; израде прецизних план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ва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читавања и д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сљедн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ст у њих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м 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ђењу; израде план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ва за баждарење бр</w:t>
      </w:r>
      <w:r w:rsidRPr="00D233A6">
        <w:rPr>
          <w:rFonts w:ascii="Arial" w:hAnsi="Arial" w:cs="Arial"/>
          <w:bCs/>
          <w:sz w:val="22"/>
          <w:szCs w:val="22"/>
        </w:rPr>
        <w:t>oj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ила; анализа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читавања и Так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ђе, ангаж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вати  МУП и прав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 xml:space="preserve">судне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ргане РС.</w:t>
      </w:r>
    </w:p>
    <w:p w:rsidR="005A77A9" w:rsidRPr="00D233A6" w:rsidRDefault="005A77A9" w:rsidP="005A77A9">
      <w:pPr>
        <w:ind w:left="360"/>
        <w:jc w:val="both"/>
        <w:rPr>
          <w:rFonts w:ascii="Arial" w:hAnsi="Arial" w:cs="Arial"/>
          <w:bCs/>
          <w:sz w:val="22"/>
          <w:szCs w:val="22"/>
          <w:lang w:val="ru-RU"/>
        </w:rPr>
      </w:pPr>
    </w:p>
    <w:p w:rsidR="005A77A9" w:rsidRPr="00D233A6" w:rsidRDefault="005A77A9" w:rsidP="0046227E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D233A6">
        <w:rPr>
          <w:rFonts w:ascii="Arial" w:hAnsi="Arial" w:cs="Arial"/>
          <w:bCs/>
          <w:sz w:val="22"/>
          <w:szCs w:val="22"/>
          <w:lang w:val="ru-RU"/>
        </w:rPr>
        <w:t>ЗЕДП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“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-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Би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ељина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” </w:t>
      </w:r>
      <w:r w:rsidR="00C46752" w:rsidRPr="00D233A6">
        <w:rPr>
          <w:rFonts w:ascii="Arial" w:hAnsi="Arial" w:cs="Arial"/>
          <w:bCs/>
          <w:sz w:val="22"/>
          <w:szCs w:val="22"/>
          <w:lang w:val="ru-RU"/>
        </w:rPr>
        <w:t>а.д.</w:t>
      </w:r>
      <w:r w:rsidR="00C46752" w:rsidRPr="00D233A6">
        <w:rPr>
          <w:rFonts w:ascii="Arial" w:hAnsi="Arial" w:cs="Arial"/>
          <w:bCs/>
          <w:sz w:val="22"/>
          <w:szCs w:val="22"/>
          <w:lang w:val="sr-Cyrl-CS"/>
        </w:rPr>
        <w:t xml:space="preserve"> Бијељина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следњих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дина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казу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е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зитивне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тренд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ве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у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сл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ru-RU"/>
        </w:rPr>
        <w:t>вању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. Реалн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 да се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стигне 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ш раци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нални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сл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вање. На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ва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начин ствара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у се усл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ви за квалитетн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државање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стро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ења, шт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би требал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да резултира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већањем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г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нске спремн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сти а самим тим и већ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м реализаци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м електричне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е.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сим т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га, 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ц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ењу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 се да раци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налн</w:t>
      </w:r>
      <w:r w:rsidR="008C1393" w:rsidRPr="00D233A6">
        <w:rPr>
          <w:rFonts w:ascii="Arial" w:hAnsi="Arial" w:cs="Arial"/>
          <w:bCs/>
          <w:sz w:val="22"/>
          <w:szCs w:val="22"/>
          <w:lang w:val="sr-Cyrl-CS"/>
        </w:rPr>
        <w:t>и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м </w:t>
      </w:r>
      <w:r w:rsidR="008C1393" w:rsidRPr="00D233A6">
        <w:rPr>
          <w:rFonts w:ascii="Arial" w:hAnsi="Arial" w:cs="Arial"/>
          <w:bCs/>
          <w:sz w:val="22"/>
          <w:szCs w:val="22"/>
          <w:lang w:val="sr-Cyrl-CS"/>
        </w:rPr>
        <w:t>управљањем слободних новчаних токова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м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гу да се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безби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еде средства за инвестирање и у знача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не 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ве 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енергетске 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б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екте на пр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ст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ру ЗЕДП 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-Би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="00C46752" w:rsidRPr="00D233A6">
        <w:rPr>
          <w:rFonts w:ascii="Arial" w:hAnsi="Arial" w:cs="Arial"/>
          <w:bCs/>
          <w:sz w:val="22"/>
          <w:szCs w:val="22"/>
          <w:lang w:val="sr-Cyrl-CS"/>
        </w:rPr>
        <w:t>ељина” а.д. Бијељина</w:t>
      </w:r>
      <w:r w:rsidR="008C1393" w:rsidRPr="00D233A6">
        <w:rPr>
          <w:rFonts w:ascii="Arial" w:hAnsi="Arial" w:cs="Arial"/>
          <w:bCs/>
          <w:sz w:val="22"/>
          <w:szCs w:val="22"/>
          <w:lang w:val="sr-Cyrl-CS"/>
        </w:rPr>
        <w:t>,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 xml:space="preserve"> а све са циљем ефикасни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ег рада електр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енергетск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г система и квалитетни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ег напа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ања п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тр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шача електричн</w:t>
      </w:r>
      <w:r w:rsidRPr="00D233A6">
        <w:rPr>
          <w:rFonts w:ascii="Arial" w:hAnsi="Arial" w:cs="Arial"/>
          <w:bCs/>
          <w:sz w:val="22"/>
          <w:szCs w:val="22"/>
        </w:rPr>
        <w:t>o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м енерги</w:t>
      </w:r>
      <w:r w:rsidRPr="00D233A6">
        <w:rPr>
          <w:rFonts w:ascii="Arial" w:hAnsi="Arial" w:cs="Arial"/>
          <w:bCs/>
          <w:sz w:val="22"/>
          <w:szCs w:val="22"/>
        </w:rPr>
        <w:t>j</w:t>
      </w:r>
      <w:r w:rsidRPr="00D233A6">
        <w:rPr>
          <w:rFonts w:ascii="Arial" w:hAnsi="Arial" w:cs="Arial"/>
          <w:bCs/>
          <w:sz w:val="22"/>
          <w:szCs w:val="22"/>
          <w:lang w:val="sr-Cyrl-RS"/>
        </w:rPr>
        <w:t>о</w:t>
      </w:r>
      <w:r w:rsidRPr="00D233A6">
        <w:rPr>
          <w:rFonts w:ascii="Arial" w:hAnsi="Arial" w:cs="Arial"/>
          <w:bCs/>
          <w:sz w:val="22"/>
          <w:szCs w:val="22"/>
          <w:lang w:val="sr-Cyrl-CS"/>
        </w:rPr>
        <w:t>м.</w:t>
      </w:r>
    </w:p>
    <w:p w:rsidR="005A77A9" w:rsidRPr="00C161F7" w:rsidRDefault="005A77A9" w:rsidP="005A77A9">
      <w:pPr>
        <w:ind w:left="720"/>
        <w:rPr>
          <w:rFonts w:ascii="Arial" w:hAnsi="Arial" w:cs="Arial"/>
          <w:bCs/>
          <w:sz w:val="22"/>
          <w:szCs w:val="22"/>
          <w:highlight w:val="yellow"/>
          <w:lang w:val="sr-Cyrl-CS"/>
        </w:rPr>
      </w:pPr>
      <w:r w:rsidRPr="00C161F7">
        <w:rPr>
          <w:rFonts w:ascii="Arial" w:hAnsi="Arial" w:cs="Arial"/>
          <w:bCs/>
          <w:sz w:val="22"/>
          <w:szCs w:val="22"/>
          <w:highlight w:val="yellow"/>
          <w:u w:val="single"/>
          <w:lang w:val="sr-Cyrl-CS"/>
        </w:rPr>
        <w:br w:type="page"/>
      </w:r>
    </w:p>
    <w:p w:rsidR="005A77A9" w:rsidRPr="00C161F7" w:rsidRDefault="005A77A9">
      <w:pPr>
        <w:spacing w:after="200" w:line="276" w:lineRule="auto"/>
        <w:rPr>
          <w:highlight w:val="yellow"/>
        </w:rPr>
      </w:pPr>
    </w:p>
    <w:tbl>
      <w:tblPr>
        <w:tblpPr w:leftFromText="187" w:rightFromText="187" w:horzAnchor="margin" w:tblpXSpec="center" w:tblpY="2881"/>
        <w:tblW w:w="4320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8286"/>
      </w:tblGrid>
      <w:tr w:rsidR="005A77A9" w:rsidRPr="00C161F7" w:rsidTr="004874E0">
        <w:trPr>
          <w:trHeight w:val="471"/>
        </w:trPr>
        <w:tc>
          <w:tcPr>
            <w:tcW w:w="8208" w:type="dxa"/>
            <w:shd w:val="clear" w:color="auto" w:fill="auto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5A77A9" w:rsidRPr="004874E0" w:rsidRDefault="005A77A9" w:rsidP="005A77A9">
            <w:pPr>
              <w:rPr>
                <w:rFonts w:ascii="Cambria" w:hAnsi="Cambria"/>
                <w:sz w:val="22"/>
                <w:szCs w:val="22"/>
                <w:lang w:val="sr-Cyrl-RS" w:eastAsia="ja-JP"/>
              </w:rPr>
            </w:pPr>
          </w:p>
        </w:tc>
      </w:tr>
      <w:tr w:rsidR="005A77A9" w:rsidRPr="00C161F7" w:rsidTr="004874E0">
        <w:trPr>
          <w:trHeight w:val="1624"/>
        </w:trPr>
        <w:tc>
          <w:tcPr>
            <w:tcW w:w="8208" w:type="dxa"/>
            <w:shd w:val="clear" w:color="auto" w:fill="auto"/>
          </w:tcPr>
          <w:p w:rsidR="005A77A9" w:rsidRPr="004874E0" w:rsidRDefault="005A77A9" w:rsidP="005A77A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val="sr-Latn-RS" w:eastAsia="ja-JP"/>
              </w:rPr>
            </w:pPr>
            <w:r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ЕКОНОМСКО-ФИНАНСИЈСКЕ ПРОЈЕКЦИЈЕ </w:t>
            </w:r>
            <w:r w:rsidR="005B77EE"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РЕБАЛАНСА </w:t>
            </w:r>
            <w:r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 xml:space="preserve">ПЛАНА ПОСЛОВАЊА </w:t>
            </w:r>
          </w:p>
          <w:p w:rsidR="005A77A9" w:rsidRPr="004874E0" w:rsidRDefault="005A77A9" w:rsidP="00E44A19">
            <w:pPr>
              <w:jc w:val="center"/>
              <w:rPr>
                <w:rFonts w:ascii="Cambria" w:hAnsi="Cambria"/>
                <w:color w:val="365F91"/>
                <w:sz w:val="40"/>
                <w:szCs w:val="80"/>
                <w:lang w:eastAsia="ja-JP"/>
              </w:rPr>
            </w:pPr>
            <w:r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за 201</w:t>
            </w:r>
            <w:r w:rsidR="004874E0"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8</w:t>
            </w:r>
            <w:r w:rsidRPr="004874E0">
              <w:rPr>
                <w:rFonts w:ascii="Cambria" w:hAnsi="Cambria"/>
                <w:color w:val="365F91"/>
                <w:sz w:val="40"/>
                <w:szCs w:val="80"/>
                <w:lang w:val="sr-Cyrl-RS" w:eastAsia="ja-JP"/>
              </w:rPr>
              <w:t>. годину</w:t>
            </w:r>
          </w:p>
        </w:tc>
      </w:tr>
    </w:tbl>
    <w:p w:rsidR="005A77A9" w:rsidRPr="00C161F7" w:rsidRDefault="005A77A9" w:rsidP="005A77A9">
      <w:pPr>
        <w:rPr>
          <w:highlight w:val="yellow"/>
        </w:rPr>
      </w:pPr>
    </w:p>
    <w:p w:rsidR="005A77A9" w:rsidRPr="00C161F7" w:rsidRDefault="005A77A9" w:rsidP="005A77A9">
      <w:pPr>
        <w:rPr>
          <w:highlight w:val="yellow"/>
        </w:rPr>
      </w:pPr>
    </w:p>
    <w:p w:rsidR="005A77A9" w:rsidRPr="00C161F7" w:rsidRDefault="005A77A9" w:rsidP="005A77A9">
      <w:pPr>
        <w:rPr>
          <w:highlight w:val="yellow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Cs w:val="28"/>
          <w:highlight w:val="yellow"/>
          <w:lang w:val="sr-Cyrl-CS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Cs w:val="28"/>
          <w:highlight w:val="yellow"/>
          <w:lang w:val="sr-Cyrl-CS"/>
        </w:rPr>
      </w:pPr>
    </w:p>
    <w:p w:rsidR="00E57F76" w:rsidRPr="00C161F7" w:rsidRDefault="00E57F76" w:rsidP="00E57F76">
      <w:pPr>
        <w:spacing w:after="200" w:line="276" w:lineRule="auto"/>
        <w:rPr>
          <w:highlight w:val="yellow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Cs w:val="28"/>
          <w:highlight w:val="yellow"/>
          <w:lang w:val="sr-Cyrl-CS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Cs w:val="28"/>
          <w:highlight w:val="yellow"/>
          <w:lang w:val="sr-Cyrl-CS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Cs w:val="28"/>
          <w:highlight w:val="yellow"/>
          <w:lang w:val="sr-Cyrl-CS"/>
        </w:rPr>
      </w:pPr>
    </w:p>
    <w:p w:rsidR="005A77A9" w:rsidRPr="00C161F7" w:rsidRDefault="005A77A9" w:rsidP="005A77A9">
      <w:pPr>
        <w:jc w:val="center"/>
        <w:rPr>
          <w:rFonts w:ascii="Arial" w:hAnsi="Arial" w:cs="Arial"/>
          <w:b/>
          <w:i/>
          <w:iCs/>
          <w:sz w:val="22"/>
          <w:szCs w:val="28"/>
          <w:highlight w:val="yellow"/>
          <w:lang w:val="sr-Cyrl-CS"/>
        </w:rPr>
      </w:pPr>
      <w:r w:rsidRPr="00C161F7">
        <w:rPr>
          <w:rFonts w:ascii="Arial" w:hAnsi="Arial" w:cs="Arial"/>
          <w:b/>
          <w:i/>
          <w:iCs/>
          <w:szCs w:val="28"/>
          <w:highlight w:val="yellow"/>
          <w:lang w:val="sr-Cyrl-CS"/>
        </w:rPr>
        <w:br w:type="page"/>
      </w:r>
    </w:p>
    <w:p w:rsidR="005A77A9" w:rsidRPr="006D3830" w:rsidRDefault="001A5290" w:rsidP="00BE72F3">
      <w:pPr>
        <w:pStyle w:val="Heading1"/>
        <w:rPr>
          <w:rFonts w:ascii="Arial" w:hAnsi="Arial" w:cs="Arial"/>
          <w:sz w:val="24"/>
        </w:rPr>
      </w:pPr>
      <w:bookmarkStart w:id="35" w:name="_Toc481062257"/>
      <w:bookmarkStart w:id="36" w:name="_Toc500762420"/>
      <w:r w:rsidRPr="006D3830">
        <w:rPr>
          <w:rFonts w:ascii="Arial" w:hAnsi="Arial" w:cs="Arial"/>
          <w:sz w:val="24"/>
          <w:lang w:val="sr-Cyrl-BA"/>
        </w:rPr>
        <w:lastRenderedPageBreak/>
        <w:t>РЕБАЛАНС</w:t>
      </w:r>
      <w:r w:rsidR="0077299D" w:rsidRPr="006D3830">
        <w:rPr>
          <w:rFonts w:ascii="Arial" w:hAnsi="Arial" w:cs="Arial"/>
          <w:sz w:val="24"/>
          <w:lang w:val="sr-Cyrl-BA"/>
        </w:rPr>
        <w:t xml:space="preserve"> </w:t>
      </w:r>
      <w:r w:rsidR="005A77A9" w:rsidRPr="006D3830">
        <w:rPr>
          <w:rFonts w:ascii="Arial" w:hAnsi="Arial" w:cs="Arial"/>
          <w:sz w:val="24"/>
        </w:rPr>
        <w:t>БИЛАНСА УСПЈЕХА ПРЕДУЗЕЋА за 20</w:t>
      </w:r>
      <w:r w:rsidR="00DB49BD" w:rsidRPr="006D3830">
        <w:rPr>
          <w:rFonts w:ascii="Arial" w:hAnsi="Arial" w:cs="Arial"/>
          <w:sz w:val="24"/>
        </w:rPr>
        <w:t>1</w:t>
      </w:r>
      <w:r w:rsidR="006D3830" w:rsidRPr="006D3830">
        <w:rPr>
          <w:rFonts w:ascii="Arial" w:hAnsi="Arial" w:cs="Arial"/>
          <w:sz w:val="24"/>
        </w:rPr>
        <w:t>8</w:t>
      </w:r>
      <w:r w:rsidR="005A77A9" w:rsidRPr="006D3830">
        <w:rPr>
          <w:rFonts w:ascii="Arial" w:hAnsi="Arial" w:cs="Arial"/>
          <w:sz w:val="24"/>
        </w:rPr>
        <w:t>. годину</w:t>
      </w:r>
      <w:bookmarkEnd w:id="35"/>
      <w:bookmarkEnd w:id="36"/>
    </w:p>
    <w:p w:rsidR="005A77A9" w:rsidRPr="006D3830" w:rsidRDefault="00AD2100" w:rsidP="005A77A9">
      <w:pPr>
        <w:rPr>
          <w:rFonts w:ascii="Arial" w:hAnsi="Arial" w:cs="Arial"/>
          <w:b/>
          <w:i/>
          <w:iCs/>
          <w:szCs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6" style="width:0;height:1.5pt" o:hralign="center" o:hrstd="t" o:hr="t" fillcolor="gray" stroked="f"/>
        </w:pict>
      </w:r>
    </w:p>
    <w:p w:rsidR="005A77A9" w:rsidRPr="00C161F7" w:rsidRDefault="005A77A9" w:rsidP="005A77A9">
      <w:pPr>
        <w:rPr>
          <w:rFonts w:ascii="Arial" w:hAnsi="Arial" w:cs="Arial"/>
          <w:sz w:val="22"/>
          <w:highlight w:val="yellow"/>
        </w:rPr>
      </w:pPr>
    </w:p>
    <w:p w:rsidR="009C50E0" w:rsidRPr="006D3830" w:rsidRDefault="009C50E0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37" w:name="_Toc481062258"/>
      <w:bookmarkStart w:id="38" w:name="_Toc500762421"/>
      <w:r w:rsidRPr="006D3830">
        <w:rPr>
          <w:rFonts w:ascii="Arial" w:hAnsi="Arial" w:cs="Arial"/>
          <w:sz w:val="22"/>
          <w:szCs w:val="22"/>
          <w:u w:val="single"/>
        </w:rPr>
        <w:t>Планирани резултат</w:t>
      </w:r>
      <w:bookmarkEnd w:id="37"/>
      <w:bookmarkEnd w:id="38"/>
    </w:p>
    <w:p w:rsidR="009C50E0" w:rsidRPr="006D3830" w:rsidRDefault="009C50E0" w:rsidP="005A77A9">
      <w:pPr>
        <w:jc w:val="both"/>
        <w:rPr>
          <w:rFonts w:ascii="Arial" w:hAnsi="Arial" w:cs="Arial"/>
          <w:bCs/>
          <w:sz w:val="22"/>
          <w:szCs w:val="28"/>
        </w:rPr>
      </w:pPr>
    </w:p>
    <w:p w:rsidR="005A77A9" w:rsidRPr="006D3830" w:rsidRDefault="005A77A9" w:rsidP="005A77A9">
      <w:pPr>
        <w:jc w:val="both"/>
        <w:rPr>
          <w:rFonts w:ascii="Arial" w:hAnsi="Arial" w:cs="Arial"/>
          <w:bCs/>
          <w:sz w:val="22"/>
          <w:szCs w:val="28"/>
        </w:rPr>
      </w:pPr>
      <w:r w:rsidRPr="006D3830">
        <w:rPr>
          <w:rFonts w:ascii="Arial" w:hAnsi="Arial" w:cs="Arial"/>
          <w:bCs/>
          <w:sz w:val="22"/>
          <w:szCs w:val="28"/>
        </w:rPr>
        <w:t>На основу усвојеног</w:t>
      </w:r>
      <w:r w:rsidRPr="006D3830">
        <w:rPr>
          <w:rFonts w:ascii="Arial" w:hAnsi="Arial" w:cs="Arial"/>
          <w:bCs/>
          <w:sz w:val="22"/>
          <w:szCs w:val="28"/>
          <w:lang w:val="sr-Cyrl-RS"/>
        </w:rPr>
        <w:t xml:space="preserve"> </w:t>
      </w:r>
      <w:r w:rsidR="003E1431" w:rsidRPr="006D3830">
        <w:rPr>
          <w:rFonts w:ascii="Arial" w:hAnsi="Arial" w:cs="Arial"/>
          <w:bCs/>
          <w:sz w:val="22"/>
          <w:szCs w:val="28"/>
          <w:lang w:val="sr-Cyrl-RS"/>
        </w:rPr>
        <w:t xml:space="preserve">Ребаланса </w:t>
      </w:r>
      <w:r w:rsidRPr="006D3830">
        <w:rPr>
          <w:rFonts w:ascii="Arial" w:hAnsi="Arial" w:cs="Arial"/>
          <w:bCs/>
          <w:sz w:val="22"/>
          <w:szCs w:val="28"/>
        </w:rPr>
        <w:t>Електроенергетског биланса</w:t>
      </w:r>
      <w:r w:rsidR="00033332" w:rsidRPr="006D3830">
        <w:rPr>
          <w:rFonts w:ascii="Arial" w:hAnsi="Arial" w:cs="Arial"/>
          <w:bCs/>
          <w:sz w:val="22"/>
          <w:szCs w:val="28"/>
          <w:lang w:val="sr-Cyrl-BA"/>
        </w:rPr>
        <w:t xml:space="preserve"> Републике Српске</w:t>
      </w:r>
      <w:r w:rsidRPr="006D3830">
        <w:rPr>
          <w:rFonts w:ascii="Arial" w:hAnsi="Arial" w:cs="Arial"/>
          <w:bCs/>
          <w:sz w:val="22"/>
          <w:szCs w:val="28"/>
        </w:rPr>
        <w:t>, цијена електричне енергије</w:t>
      </w:r>
      <w:r w:rsidR="00033332" w:rsidRPr="006D3830">
        <w:rPr>
          <w:rFonts w:ascii="Arial" w:hAnsi="Arial" w:cs="Arial"/>
          <w:bCs/>
          <w:sz w:val="22"/>
          <w:szCs w:val="28"/>
          <w:lang w:val="sr-Cyrl-BA"/>
        </w:rPr>
        <w:t xml:space="preserve"> утврђених од стране Регулаторне комисије за енергетику Републике Српске</w:t>
      </w:r>
      <w:r w:rsidR="007D1DDD" w:rsidRPr="006D3830">
        <w:rPr>
          <w:rFonts w:ascii="Arial" w:hAnsi="Arial" w:cs="Arial"/>
          <w:bCs/>
          <w:sz w:val="22"/>
          <w:szCs w:val="28"/>
          <w:lang w:val="sr-Cyrl-BA"/>
        </w:rPr>
        <w:t xml:space="preserve">, </w:t>
      </w:r>
      <w:r w:rsidR="003E1431" w:rsidRPr="006D3830">
        <w:rPr>
          <w:rFonts w:ascii="Arial" w:hAnsi="Arial" w:cs="Arial"/>
          <w:bCs/>
          <w:sz w:val="22"/>
          <w:szCs w:val="28"/>
          <w:lang w:val="sr-Cyrl-BA"/>
        </w:rPr>
        <w:t>Ребаланса плана</w:t>
      </w:r>
      <w:r w:rsidR="007D1DDD" w:rsidRPr="006D3830">
        <w:rPr>
          <w:rFonts w:ascii="Arial" w:hAnsi="Arial" w:cs="Arial"/>
          <w:bCs/>
          <w:sz w:val="22"/>
          <w:szCs w:val="28"/>
          <w:lang w:val="sr-Cyrl-BA"/>
        </w:rPr>
        <w:t xml:space="preserve"> инвестиција, Плана набавки</w:t>
      </w:r>
      <w:r w:rsidRPr="006D3830">
        <w:rPr>
          <w:rFonts w:ascii="Arial" w:hAnsi="Arial" w:cs="Arial"/>
          <w:bCs/>
          <w:sz w:val="22"/>
          <w:szCs w:val="28"/>
        </w:rPr>
        <w:t xml:space="preserve"> и процјен</w:t>
      </w:r>
      <w:r w:rsidRPr="006D3830">
        <w:rPr>
          <w:rFonts w:ascii="Arial" w:hAnsi="Arial" w:cs="Arial"/>
          <w:bCs/>
          <w:sz w:val="22"/>
          <w:szCs w:val="28"/>
          <w:lang w:val="sr-Cyrl-RS"/>
        </w:rPr>
        <w:t>е</w:t>
      </w:r>
      <w:r w:rsidRPr="006D3830">
        <w:rPr>
          <w:rFonts w:ascii="Arial" w:hAnsi="Arial" w:cs="Arial"/>
          <w:bCs/>
          <w:sz w:val="22"/>
          <w:szCs w:val="28"/>
        </w:rPr>
        <w:t xml:space="preserve"> остварења осталих величина, сачињен је </w:t>
      </w:r>
      <w:r w:rsidR="003E1431" w:rsidRPr="006D3830">
        <w:rPr>
          <w:rFonts w:ascii="Arial" w:hAnsi="Arial" w:cs="Arial"/>
          <w:bCs/>
          <w:sz w:val="22"/>
          <w:szCs w:val="28"/>
          <w:lang w:val="sr-Cyrl-CS"/>
        </w:rPr>
        <w:t xml:space="preserve">Ребаланс </w:t>
      </w:r>
      <w:r w:rsidR="003E1431" w:rsidRPr="006D3830">
        <w:rPr>
          <w:rFonts w:ascii="Arial" w:hAnsi="Arial" w:cs="Arial"/>
          <w:bCs/>
          <w:sz w:val="22"/>
          <w:szCs w:val="28"/>
          <w:lang w:val="sr-Cyrl-RS"/>
        </w:rPr>
        <w:t>п</w:t>
      </w:r>
      <w:r w:rsidR="00033332" w:rsidRPr="006D3830">
        <w:rPr>
          <w:rFonts w:ascii="Arial" w:hAnsi="Arial" w:cs="Arial"/>
          <w:bCs/>
          <w:sz w:val="22"/>
          <w:szCs w:val="28"/>
        </w:rPr>
        <w:t>лан</w:t>
      </w:r>
      <w:r w:rsidR="003E1431" w:rsidRPr="006D3830">
        <w:rPr>
          <w:rFonts w:ascii="Arial" w:hAnsi="Arial" w:cs="Arial"/>
          <w:bCs/>
          <w:sz w:val="22"/>
          <w:szCs w:val="28"/>
          <w:lang w:val="sr-Cyrl-CS"/>
        </w:rPr>
        <w:t>а</w:t>
      </w:r>
      <w:r w:rsidR="00033332" w:rsidRPr="006D3830">
        <w:rPr>
          <w:rFonts w:ascii="Arial" w:hAnsi="Arial" w:cs="Arial"/>
          <w:bCs/>
          <w:sz w:val="22"/>
          <w:szCs w:val="28"/>
        </w:rPr>
        <w:t xml:space="preserve"> прихода и расхода ЗЕДП </w:t>
      </w:r>
      <w:r w:rsidR="00033332" w:rsidRPr="006D3830">
        <w:rPr>
          <w:rFonts w:ascii="Arial" w:hAnsi="Arial" w:cs="Arial"/>
          <w:bCs/>
          <w:sz w:val="22"/>
          <w:szCs w:val="28"/>
          <w:lang w:val="sr-Cyrl-BA"/>
        </w:rPr>
        <w:t xml:space="preserve">''Електро-Бијељина'' а.д. Бијељина. </w:t>
      </w:r>
    </w:p>
    <w:p w:rsidR="00033332" w:rsidRPr="00C161F7" w:rsidRDefault="00033332" w:rsidP="005A77A9">
      <w:pPr>
        <w:jc w:val="both"/>
        <w:rPr>
          <w:rFonts w:ascii="Arial" w:hAnsi="Arial" w:cs="Arial"/>
          <w:bCs/>
          <w:sz w:val="22"/>
          <w:szCs w:val="28"/>
          <w:highlight w:val="yellow"/>
          <w:lang w:val="sr-Cyrl-RS"/>
        </w:rPr>
      </w:pPr>
    </w:p>
    <w:p w:rsidR="00033332" w:rsidRPr="008D1F29" w:rsidRDefault="00375B8A" w:rsidP="00375B8A">
      <w:pPr>
        <w:pStyle w:val="Caption"/>
        <w:rPr>
          <w:rFonts w:ascii="Arial" w:hAnsi="Arial" w:cs="Arial"/>
          <w:b w:val="0"/>
          <w:bCs w:val="0"/>
          <w:szCs w:val="22"/>
          <w:lang w:val="sr-Cyrl-BA"/>
        </w:rPr>
      </w:pPr>
      <w:bookmarkStart w:id="39" w:name="_Toc500767354"/>
      <w:r w:rsidRPr="008D1F29">
        <w:rPr>
          <w:rFonts w:ascii="Arial" w:hAnsi="Arial" w:cs="Arial"/>
          <w:b w:val="0"/>
        </w:rPr>
        <w:t xml:space="preserve">Табела </w:t>
      </w:r>
      <w:r w:rsidRPr="008D1F29">
        <w:rPr>
          <w:rFonts w:ascii="Arial" w:hAnsi="Arial" w:cs="Arial"/>
          <w:b w:val="0"/>
        </w:rPr>
        <w:fldChar w:fldCharType="begin"/>
      </w:r>
      <w:r w:rsidRPr="008D1F29">
        <w:rPr>
          <w:rFonts w:ascii="Arial" w:hAnsi="Arial" w:cs="Arial"/>
          <w:b w:val="0"/>
        </w:rPr>
        <w:instrText xml:space="preserve"> SEQ Табела \* ARABIC </w:instrText>
      </w:r>
      <w:r w:rsidRPr="008D1F29">
        <w:rPr>
          <w:rFonts w:ascii="Arial" w:hAnsi="Arial" w:cs="Arial"/>
          <w:b w:val="0"/>
        </w:rPr>
        <w:fldChar w:fldCharType="separate"/>
      </w:r>
      <w:r w:rsidR="00322822" w:rsidRPr="008D1F29">
        <w:rPr>
          <w:rFonts w:ascii="Arial" w:hAnsi="Arial" w:cs="Arial"/>
          <w:b w:val="0"/>
          <w:noProof/>
        </w:rPr>
        <w:t>5</w:t>
      </w:r>
      <w:r w:rsidRPr="008D1F29">
        <w:rPr>
          <w:rFonts w:ascii="Arial" w:hAnsi="Arial" w:cs="Arial"/>
          <w:b w:val="0"/>
        </w:rPr>
        <w:fldChar w:fldCharType="end"/>
      </w:r>
      <w:r w:rsidRPr="008D1F29">
        <w:rPr>
          <w:rFonts w:ascii="Arial" w:hAnsi="Arial" w:cs="Arial"/>
          <w:b w:val="0"/>
          <w:szCs w:val="22"/>
          <w:lang w:val="sr-Cyrl-BA"/>
        </w:rPr>
        <w:t xml:space="preserve">  </w:t>
      </w:r>
      <w:r w:rsidR="008D1F29" w:rsidRPr="008D1F29">
        <w:rPr>
          <w:rFonts w:ascii="Arial" w:hAnsi="Arial" w:cs="Arial"/>
          <w:b w:val="0"/>
          <w:bCs w:val="0"/>
          <w:szCs w:val="22"/>
          <w:lang w:val="sr-Cyrl-RS"/>
        </w:rPr>
        <w:t>Планирани резултат за 2018</w:t>
      </w:r>
      <w:r w:rsidRPr="008D1F29">
        <w:rPr>
          <w:rFonts w:ascii="Arial" w:hAnsi="Arial" w:cs="Arial"/>
          <w:b w:val="0"/>
          <w:bCs w:val="0"/>
          <w:szCs w:val="22"/>
          <w:lang w:val="sr-Cyrl-RS"/>
        </w:rPr>
        <w:t>. годину према Ребалансу</w:t>
      </w:r>
      <w:bookmarkEnd w:id="39"/>
    </w:p>
    <w:tbl>
      <w:tblPr>
        <w:tblW w:w="10530" w:type="dxa"/>
        <w:tblInd w:w="18" w:type="dxa"/>
        <w:tblLook w:val="04A0" w:firstRow="1" w:lastRow="0" w:firstColumn="1" w:lastColumn="0" w:noHBand="0" w:noVBand="1"/>
      </w:tblPr>
      <w:tblGrid>
        <w:gridCol w:w="4950"/>
        <w:gridCol w:w="1345"/>
        <w:gridCol w:w="1260"/>
        <w:gridCol w:w="1350"/>
        <w:gridCol w:w="883"/>
        <w:gridCol w:w="883"/>
      </w:tblGrid>
      <w:tr w:rsidR="008D1F29" w:rsidRPr="008D1F29" w:rsidTr="00D233A6">
        <w:trPr>
          <w:trHeight w:val="870"/>
        </w:trPr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ОПИС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РЕБАЛАНС 2018.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ПЛАН 2018.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Остварено у 2017. год.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2/3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2/4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D1F2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ПРИХОД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100.211.743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98.422.479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116.423.403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 Пословни приход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94.404.508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93.211.679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95.944.562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 Остали приход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3.091.351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2.010.000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17.718.609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приход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2.715.884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3.200.800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2.741.490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4. Приход од усклађивања вриједности имовине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18.742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УКУПАН РАСХОД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99.941.904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97.404.738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115.542.311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 Пословни расход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97.900.584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94.554.738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99.569.737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 Остали расход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1.141.280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2.250.000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14.871.837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3. Финансијски расход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1.100.603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4. Расход од усклађивања вриједности имовине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8D1F29" w:rsidRPr="008D1F29" w:rsidTr="00D233A6">
        <w:trPr>
          <w:trHeight w:val="51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5. Расход по основу промјене рачуноводствених политика и исправке грешака ранијих година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БРУТО ДОБИТ/ГУБИТАК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269.839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1.017.741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881.092</w:t>
            </w:r>
          </w:p>
        </w:tc>
        <w:tc>
          <w:tcPr>
            <w:tcW w:w="16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1F29" w:rsidRPr="008D1F29" w:rsidRDefault="008D1F29" w:rsidP="008D1F2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Резултат из пословне активности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-3.496.076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-1.343.059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-3.625.175</w:t>
            </w:r>
          </w:p>
        </w:tc>
        <w:tc>
          <w:tcPr>
            <w:tcW w:w="16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Резултат из редовне активности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-1.680.192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1.257.741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-1.984.288</w:t>
            </w:r>
          </w:p>
        </w:tc>
        <w:tc>
          <w:tcPr>
            <w:tcW w:w="16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осталих прихода и расхода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1.950.071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-240.000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2.846.772</w:t>
            </w:r>
          </w:p>
        </w:tc>
        <w:tc>
          <w:tcPr>
            <w:tcW w:w="16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D1F29" w:rsidRPr="008D1F29" w:rsidTr="00D233A6">
        <w:trPr>
          <w:trHeight w:val="300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Резултат по основу усклађивања вриједности имовине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1F29" w:rsidRPr="008D1F29" w:rsidRDefault="008D1F29" w:rsidP="008D1F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F29">
              <w:rPr>
                <w:rFonts w:ascii="Arial" w:hAnsi="Arial" w:cs="Arial"/>
                <w:color w:val="000000"/>
                <w:sz w:val="20"/>
                <w:szCs w:val="20"/>
              </w:rPr>
              <w:t>18.608</w:t>
            </w:r>
          </w:p>
        </w:tc>
        <w:tc>
          <w:tcPr>
            <w:tcW w:w="162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29" w:rsidRPr="008D1F29" w:rsidRDefault="008D1F29" w:rsidP="008D1F2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D1F29" w:rsidRDefault="008D1F29" w:rsidP="003E5828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3E5828" w:rsidRPr="008A43B4" w:rsidRDefault="003E5828" w:rsidP="003E5828">
      <w:pPr>
        <w:jc w:val="both"/>
        <w:rPr>
          <w:rFonts w:ascii="Arial" w:hAnsi="Arial" w:cs="Arial"/>
          <w:sz w:val="22"/>
          <w:lang w:val="sr-Cyrl-CS"/>
        </w:rPr>
      </w:pPr>
      <w:r w:rsidRPr="008A43B4">
        <w:rPr>
          <w:rFonts w:ascii="Arial" w:hAnsi="Arial" w:cs="Arial"/>
          <w:sz w:val="22"/>
          <w:lang w:val="sr-Cyrl-CS"/>
        </w:rPr>
        <w:t>П</w:t>
      </w:r>
      <w:r w:rsidR="005A77A9" w:rsidRPr="008A43B4">
        <w:rPr>
          <w:rFonts w:ascii="Arial" w:hAnsi="Arial" w:cs="Arial"/>
          <w:sz w:val="22"/>
          <w:lang w:val="sr-Cyrl-CS"/>
        </w:rPr>
        <w:t>ланиран</w:t>
      </w:r>
      <w:r w:rsidR="007D1DDD" w:rsidRPr="008A43B4">
        <w:rPr>
          <w:rFonts w:ascii="Arial" w:hAnsi="Arial" w:cs="Arial"/>
          <w:sz w:val="22"/>
          <w:lang w:val="sr-Cyrl-CS"/>
        </w:rPr>
        <w:t>и</w:t>
      </w:r>
      <w:r w:rsidRPr="008A43B4">
        <w:rPr>
          <w:rFonts w:ascii="Arial" w:hAnsi="Arial" w:cs="Arial"/>
          <w:sz w:val="22"/>
          <w:lang w:val="sr-Cyrl-CS"/>
        </w:rPr>
        <w:t xml:space="preserve"> укупни</w:t>
      </w:r>
      <w:r w:rsidR="007D1DDD" w:rsidRPr="008A43B4">
        <w:rPr>
          <w:rFonts w:ascii="Arial" w:hAnsi="Arial" w:cs="Arial"/>
          <w:sz w:val="22"/>
          <w:lang w:val="sr-Cyrl-CS"/>
        </w:rPr>
        <w:t xml:space="preserve"> </w:t>
      </w:r>
      <w:r w:rsidRPr="008A43B4">
        <w:rPr>
          <w:rFonts w:ascii="Arial" w:hAnsi="Arial" w:cs="Arial"/>
          <w:sz w:val="22"/>
          <w:lang w:val="sr-Cyrl-CS"/>
        </w:rPr>
        <w:t xml:space="preserve">приходи </w:t>
      </w:r>
      <w:r w:rsidR="006D27CD" w:rsidRPr="008A43B4">
        <w:rPr>
          <w:rFonts w:ascii="Arial" w:hAnsi="Arial" w:cs="Arial"/>
          <w:sz w:val="22"/>
          <w:lang w:val="sr-Cyrl-CS"/>
        </w:rPr>
        <w:t xml:space="preserve">према ребалансу </w:t>
      </w:r>
      <w:r w:rsidRPr="008A43B4">
        <w:rPr>
          <w:rFonts w:ascii="Arial" w:hAnsi="Arial" w:cs="Arial"/>
          <w:sz w:val="22"/>
          <w:lang w:val="sr-Cyrl-CS"/>
        </w:rPr>
        <w:t xml:space="preserve">за </w:t>
      </w:r>
      <w:r w:rsidR="005A77A9" w:rsidRPr="008A43B4">
        <w:rPr>
          <w:rFonts w:ascii="Arial" w:hAnsi="Arial" w:cs="Arial"/>
          <w:sz w:val="22"/>
          <w:lang w:val="sr-Cyrl-CS"/>
        </w:rPr>
        <w:t>20</w:t>
      </w:r>
      <w:r w:rsidR="00DB49BD" w:rsidRPr="008A43B4">
        <w:rPr>
          <w:rFonts w:ascii="Arial" w:hAnsi="Arial" w:cs="Arial"/>
          <w:sz w:val="22"/>
        </w:rPr>
        <w:t>1</w:t>
      </w:r>
      <w:r w:rsidR="008D1F29" w:rsidRPr="008A43B4">
        <w:rPr>
          <w:rFonts w:ascii="Arial" w:hAnsi="Arial" w:cs="Arial"/>
          <w:sz w:val="22"/>
          <w:lang w:val="sr-Cyrl-RS"/>
        </w:rPr>
        <w:t>8</w:t>
      </w:r>
      <w:r w:rsidR="005A77A9" w:rsidRPr="008A43B4">
        <w:rPr>
          <w:rFonts w:ascii="Arial" w:hAnsi="Arial" w:cs="Arial"/>
          <w:sz w:val="22"/>
          <w:lang w:val="sr-Cyrl-CS"/>
        </w:rPr>
        <w:t>. годин</w:t>
      </w:r>
      <w:r w:rsidRPr="008A43B4">
        <w:rPr>
          <w:rFonts w:ascii="Arial" w:hAnsi="Arial" w:cs="Arial"/>
          <w:sz w:val="22"/>
          <w:lang w:val="sr-Cyrl-CS"/>
        </w:rPr>
        <w:t>у</w:t>
      </w:r>
      <w:r w:rsidR="005A77A9" w:rsidRPr="008A43B4">
        <w:rPr>
          <w:rFonts w:ascii="Arial" w:hAnsi="Arial" w:cs="Arial"/>
          <w:sz w:val="22"/>
          <w:lang w:val="sr-Cyrl-CS"/>
        </w:rPr>
        <w:t xml:space="preserve"> износ</w:t>
      </w:r>
      <w:r w:rsidR="007D1DDD" w:rsidRPr="008A43B4">
        <w:rPr>
          <w:rFonts w:ascii="Arial" w:hAnsi="Arial" w:cs="Arial"/>
          <w:sz w:val="22"/>
          <w:lang w:val="sr-Cyrl-CS"/>
        </w:rPr>
        <w:t>е</w:t>
      </w:r>
      <w:r w:rsidR="005A77A9" w:rsidRPr="008A43B4">
        <w:rPr>
          <w:rFonts w:ascii="Arial" w:hAnsi="Arial" w:cs="Arial"/>
          <w:sz w:val="22"/>
          <w:lang w:val="sr-Cyrl-CS"/>
        </w:rPr>
        <w:t xml:space="preserve"> </w:t>
      </w:r>
      <w:r w:rsidR="008D1F29" w:rsidRPr="008A43B4">
        <w:rPr>
          <w:rFonts w:ascii="Arial" w:hAnsi="Arial" w:cs="Arial"/>
          <w:sz w:val="22"/>
          <w:lang w:val="sr-Cyrl-CS"/>
        </w:rPr>
        <w:t>100</w:t>
      </w:r>
      <w:r w:rsidR="00082FB6" w:rsidRPr="008A43B4">
        <w:rPr>
          <w:rFonts w:ascii="Arial" w:hAnsi="Arial" w:cs="Arial"/>
          <w:sz w:val="22"/>
          <w:lang w:val="sr-Cyrl-CS"/>
        </w:rPr>
        <w:t>,</w:t>
      </w:r>
      <w:r w:rsidR="008D1F29" w:rsidRPr="008A43B4">
        <w:rPr>
          <w:rFonts w:ascii="Arial" w:hAnsi="Arial" w:cs="Arial"/>
          <w:sz w:val="22"/>
          <w:lang w:val="sr-Cyrl-CS"/>
        </w:rPr>
        <w:t>211</w:t>
      </w:r>
      <w:r w:rsidR="00151F27" w:rsidRPr="008A43B4">
        <w:rPr>
          <w:rFonts w:ascii="Arial" w:hAnsi="Arial" w:cs="Arial"/>
          <w:sz w:val="22"/>
          <w:lang w:val="sr-Cyrl-CS"/>
        </w:rPr>
        <w:t xml:space="preserve"> </w:t>
      </w:r>
      <w:r w:rsidR="005A77A9" w:rsidRPr="008A43B4">
        <w:rPr>
          <w:rFonts w:ascii="Arial" w:hAnsi="Arial" w:cs="Arial"/>
          <w:sz w:val="22"/>
          <w:lang w:val="sr-Cyrl-CS"/>
        </w:rPr>
        <w:t>мил. КМ</w:t>
      </w:r>
      <w:r w:rsidR="007D1DDD" w:rsidRPr="008A43B4">
        <w:rPr>
          <w:rFonts w:ascii="Arial" w:hAnsi="Arial" w:cs="Arial"/>
          <w:sz w:val="22"/>
          <w:lang w:val="sr-Cyrl-CS"/>
        </w:rPr>
        <w:t xml:space="preserve"> и за</w:t>
      </w:r>
      <w:r w:rsidR="008D1F29" w:rsidRPr="008A43B4">
        <w:rPr>
          <w:rFonts w:ascii="Arial" w:hAnsi="Arial" w:cs="Arial"/>
          <w:sz w:val="22"/>
          <w:lang w:val="sr-Cyrl-CS"/>
        </w:rPr>
        <w:t xml:space="preserve"> 14</w:t>
      </w:r>
      <w:r w:rsidRPr="008A43B4">
        <w:rPr>
          <w:rFonts w:ascii="Arial" w:hAnsi="Arial" w:cs="Arial"/>
          <w:sz w:val="22"/>
          <w:lang w:val="sr-Cyrl-CS"/>
        </w:rPr>
        <w:t>% су мањи у односу на укупно остварене при</w:t>
      </w:r>
      <w:r w:rsidR="008D1F29" w:rsidRPr="008A43B4">
        <w:rPr>
          <w:rFonts w:ascii="Arial" w:hAnsi="Arial" w:cs="Arial"/>
          <w:sz w:val="22"/>
          <w:lang w:val="sr-Cyrl-CS"/>
        </w:rPr>
        <w:t>ходе у 2017</w:t>
      </w:r>
      <w:r w:rsidR="006D27CD" w:rsidRPr="008A43B4">
        <w:rPr>
          <w:rFonts w:ascii="Arial" w:hAnsi="Arial" w:cs="Arial"/>
          <w:sz w:val="22"/>
          <w:lang w:val="sr-Cyrl-CS"/>
        </w:rPr>
        <w:t xml:space="preserve">. годину, док су </w:t>
      </w:r>
      <w:r w:rsidR="008A43B4" w:rsidRPr="008A43B4">
        <w:rPr>
          <w:rFonts w:ascii="Arial" w:hAnsi="Arial" w:cs="Arial"/>
          <w:sz w:val="22"/>
          <w:lang w:val="sr-Cyrl-CS"/>
        </w:rPr>
        <w:t>повећани за 2% у односу на</w:t>
      </w:r>
      <w:r w:rsidR="006D27CD" w:rsidRPr="008A43B4">
        <w:rPr>
          <w:rFonts w:ascii="Arial" w:hAnsi="Arial" w:cs="Arial"/>
          <w:sz w:val="22"/>
          <w:lang w:val="sr-Cyrl-CS"/>
        </w:rPr>
        <w:t xml:space="preserve"> планиран</w:t>
      </w:r>
      <w:r w:rsidR="008A43B4" w:rsidRPr="008A43B4">
        <w:rPr>
          <w:rFonts w:ascii="Arial" w:hAnsi="Arial" w:cs="Arial"/>
          <w:sz w:val="22"/>
          <w:lang w:val="sr-Cyrl-CS"/>
        </w:rPr>
        <w:t xml:space="preserve">е приходе </w:t>
      </w:r>
      <w:r w:rsidR="006D27CD" w:rsidRPr="008A43B4">
        <w:rPr>
          <w:rFonts w:ascii="Arial" w:hAnsi="Arial" w:cs="Arial"/>
          <w:sz w:val="22"/>
          <w:lang w:val="sr-Cyrl-CS"/>
        </w:rPr>
        <w:t>за 2017. годину.</w:t>
      </w:r>
    </w:p>
    <w:p w:rsidR="003E5828" w:rsidRPr="008A43B4" w:rsidRDefault="003E5828" w:rsidP="003E5828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8A43B4" w:rsidRDefault="003E5828" w:rsidP="003E5828">
      <w:pPr>
        <w:jc w:val="both"/>
        <w:rPr>
          <w:rFonts w:ascii="Arial" w:hAnsi="Arial" w:cs="Arial"/>
          <w:sz w:val="22"/>
          <w:lang w:val="sr-Cyrl-CS"/>
        </w:rPr>
      </w:pPr>
      <w:r w:rsidRPr="008A43B4">
        <w:rPr>
          <w:rFonts w:ascii="Arial" w:hAnsi="Arial" w:cs="Arial"/>
          <w:sz w:val="22"/>
          <w:lang w:val="sr-Cyrl-CS"/>
        </w:rPr>
        <w:t xml:space="preserve">Планирани укупни расходи </w:t>
      </w:r>
      <w:r w:rsidR="008A43B4" w:rsidRPr="008A43B4">
        <w:rPr>
          <w:rFonts w:ascii="Arial" w:hAnsi="Arial" w:cs="Arial"/>
          <w:sz w:val="22"/>
          <w:lang w:val="sr-Cyrl-CS"/>
        </w:rPr>
        <w:t>према ребалансу за 2018</w:t>
      </w:r>
      <w:r w:rsidR="006D27CD" w:rsidRPr="008A43B4">
        <w:rPr>
          <w:rFonts w:ascii="Arial" w:hAnsi="Arial" w:cs="Arial"/>
          <w:sz w:val="22"/>
          <w:lang w:val="sr-Cyrl-CS"/>
        </w:rPr>
        <w:t>. годин</w:t>
      </w:r>
      <w:r w:rsidR="008A43B4" w:rsidRPr="008A43B4">
        <w:rPr>
          <w:rFonts w:ascii="Arial" w:hAnsi="Arial" w:cs="Arial"/>
          <w:sz w:val="22"/>
          <w:lang w:val="sr-Cyrl-CS"/>
        </w:rPr>
        <w:t>у износе 99,941 мил. КМ и за 14</w:t>
      </w:r>
      <w:r w:rsidRPr="008A43B4">
        <w:rPr>
          <w:rFonts w:ascii="Arial" w:hAnsi="Arial" w:cs="Arial"/>
          <w:sz w:val="22"/>
          <w:lang w:val="sr-Cyrl-CS"/>
        </w:rPr>
        <w:t>% су мањи од ос</w:t>
      </w:r>
      <w:r w:rsidR="008A43B4" w:rsidRPr="008A43B4">
        <w:rPr>
          <w:rFonts w:ascii="Arial" w:hAnsi="Arial" w:cs="Arial"/>
          <w:sz w:val="22"/>
          <w:lang w:val="sr-Cyrl-CS"/>
        </w:rPr>
        <w:t>тварених укупних расхода из 2017</w:t>
      </w:r>
      <w:r w:rsidRPr="008A43B4">
        <w:rPr>
          <w:rFonts w:ascii="Arial" w:hAnsi="Arial" w:cs="Arial"/>
          <w:sz w:val="22"/>
          <w:lang w:val="sr-Cyrl-CS"/>
        </w:rPr>
        <w:t xml:space="preserve">. године док су </w:t>
      </w:r>
      <w:r w:rsidR="008A43B4" w:rsidRPr="008A43B4">
        <w:rPr>
          <w:rFonts w:ascii="Arial" w:hAnsi="Arial" w:cs="Arial"/>
          <w:sz w:val="22"/>
          <w:lang w:val="sr-Cyrl-CS"/>
        </w:rPr>
        <w:t>повећани за 3% у односу на</w:t>
      </w:r>
      <w:r w:rsidRPr="008A43B4">
        <w:rPr>
          <w:rFonts w:ascii="Arial" w:hAnsi="Arial" w:cs="Arial"/>
          <w:sz w:val="22"/>
          <w:lang w:val="sr-Cyrl-CS"/>
        </w:rPr>
        <w:t xml:space="preserve"> </w:t>
      </w:r>
      <w:r w:rsidR="006D27CD" w:rsidRPr="008A43B4">
        <w:rPr>
          <w:rFonts w:ascii="Arial" w:hAnsi="Arial" w:cs="Arial"/>
          <w:sz w:val="22"/>
          <w:lang w:val="sr-Cyrl-CS"/>
        </w:rPr>
        <w:t>планиран</w:t>
      </w:r>
      <w:r w:rsidR="008A43B4" w:rsidRPr="008A43B4">
        <w:rPr>
          <w:rFonts w:ascii="Arial" w:hAnsi="Arial" w:cs="Arial"/>
          <w:sz w:val="22"/>
          <w:lang w:val="sr-Cyrl-CS"/>
        </w:rPr>
        <w:t>е расходе</w:t>
      </w:r>
      <w:r w:rsidR="006D27CD" w:rsidRPr="008A43B4">
        <w:rPr>
          <w:rFonts w:ascii="Arial" w:hAnsi="Arial" w:cs="Arial"/>
          <w:sz w:val="22"/>
          <w:lang w:val="sr-Cyrl-CS"/>
        </w:rPr>
        <w:t xml:space="preserve"> за 2017. годину</w:t>
      </w:r>
      <w:r w:rsidRPr="008A43B4">
        <w:rPr>
          <w:rFonts w:ascii="Arial" w:hAnsi="Arial" w:cs="Arial"/>
          <w:sz w:val="22"/>
          <w:lang w:val="sr-Cyrl-CS"/>
        </w:rPr>
        <w:t xml:space="preserve">. </w:t>
      </w:r>
    </w:p>
    <w:p w:rsidR="003E5828" w:rsidRPr="008A43B4" w:rsidRDefault="003E5828" w:rsidP="003E5828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8A43B4" w:rsidRDefault="003E5828" w:rsidP="003E5828">
      <w:pPr>
        <w:jc w:val="both"/>
        <w:rPr>
          <w:rFonts w:ascii="Arial" w:hAnsi="Arial" w:cs="Arial"/>
          <w:bCs/>
          <w:sz w:val="22"/>
          <w:lang w:val="sr-Cyrl-CS"/>
        </w:rPr>
      </w:pPr>
      <w:r w:rsidRPr="008A43B4">
        <w:rPr>
          <w:rFonts w:ascii="Arial" w:hAnsi="Arial" w:cs="Arial"/>
          <w:sz w:val="22"/>
          <w:lang w:val="sr-Cyrl-CS"/>
        </w:rPr>
        <w:t xml:space="preserve">Планирана бруто добит за </w:t>
      </w:r>
      <w:r w:rsidR="005A77A9" w:rsidRPr="008A43B4">
        <w:rPr>
          <w:rFonts w:ascii="Arial" w:hAnsi="Arial" w:cs="Arial"/>
          <w:bCs/>
          <w:sz w:val="22"/>
          <w:lang w:val="sr-Cyrl-CS"/>
        </w:rPr>
        <w:t>20</w:t>
      </w:r>
      <w:r w:rsidR="00DB49BD" w:rsidRPr="008A43B4">
        <w:rPr>
          <w:rFonts w:ascii="Arial" w:hAnsi="Arial" w:cs="Arial"/>
          <w:bCs/>
          <w:sz w:val="22"/>
        </w:rPr>
        <w:t>1</w:t>
      </w:r>
      <w:r w:rsidR="008A43B4" w:rsidRPr="008A43B4">
        <w:rPr>
          <w:rFonts w:ascii="Arial" w:hAnsi="Arial" w:cs="Arial"/>
          <w:bCs/>
          <w:sz w:val="22"/>
          <w:lang w:val="sr-Cyrl-BA"/>
        </w:rPr>
        <w:t>8</w:t>
      </w:r>
      <w:r w:rsidR="005A77A9" w:rsidRPr="008A43B4">
        <w:rPr>
          <w:rFonts w:ascii="Arial" w:hAnsi="Arial" w:cs="Arial"/>
          <w:bCs/>
          <w:sz w:val="22"/>
        </w:rPr>
        <w:t>.</w:t>
      </w:r>
      <w:r w:rsidR="005A77A9" w:rsidRPr="008A43B4">
        <w:rPr>
          <w:rFonts w:ascii="Arial" w:hAnsi="Arial" w:cs="Arial"/>
          <w:bCs/>
          <w:sz w:val="22"/>
          <w:lang w:val="sr-Cyrl-CS"/>
        </w:rPr>
        <w:t xml:space="preserve"> </w:t>
      </w:r>
      <w:r w:rsidRPr="008A43B4">
        <w:rPr>
          <w:rFonts w:ascii="Arial" w:hAnsi="Arial" w:cs="Arial"/>
          <w:bCs/>
          <w:sz w:val="22"/>
          <w:lang w:val="sr-Cyrl-CS"/>
        </w:rPr>
        <w:t>г</w:t>
      </w:r>
      <w:r w:rsidR="005A77A9" w:rsidRPr="008A43B4">
        <w:rPr>
          <w:rFonts w:ascii="Arial" w:hAnsi="Arial" w:cs="Arial"/>
          <w:bCs/>
          <w:sz w:val="22"/>
          <w:lang w:val="sr-Cyrl-CS"/>
        </w:rPr>
        <w:t>один</w:t>
      </w:r>
      <w:r w:rsidR="006D27CD" w:rsidRPr="008A43B4">
        <w:rPr>
          <w:rFonts w:ascii="Arial" w:hAnsi="Arial" w:cs="Arial"/>
          <w:bCs/>
          <w:sz w:val="22"/>
          <w:lang w:val="sr-Cyrl-CS"/>
        </w:rPr>
        <w:t xml:space="preserve">у износи </w:t>
      </w:r>
      <w:r w:rsidR="008A43B4" w:rsidRPr="008A43B4">
        <w:rPr>
          <w:rFonts w:ascii="Arial" w:hAnsi="Arial" w:cs="Arial"/>
          <w:bCs/>
          <w:sz w:val="22"/>
          <w:lang w:val="sr-Cyrl-CS"/>
        </w:rPr>
        <w:t>269.839 КМ.</w:t>
      </w:r>
    </w:p>
    <w:p w:rsidR="009C50E0" w:rsidRPr="00C161F7" w:rsidRDefault="009C50E0" w:rsidP="006D27CD">
      <w:pPr>
        <w:rPr>
          <w:rFonts w:ascii="Arial" w:hAnsi="Arial" w:cs="Arial"/>
          <w:bCs/>
          <w:sz w:val="22"/>
          <w:szCs w:val="28"/>
          <w:highlight w:val="yellow"/>
          <w:lang w:val="sr-Cyrl-CS"/>
        </w:rPr>
      </w:pPr>
    </w:p>
    <w:p w:rsidR="009C50E0" w:rsidRPr="00C161F7" w:rsidRDefault="009C50E0" w:rsidP="009C50E0">
      <w:pPr>
        <w:ind w:left="720"/>
        <w:rPr>
          <w:rFonts w:ascii="Arial" w:hAnsi="Arial" w:cs="Arial"/>
          <w:bCs/>
          <w:sz w:val="22"/>
          <w:szCs w:val="28"/>
          <w:highlight w:val="yellow"/>
          <w:lang w:val="sr-Cyrl-CS"/>
        </w:rPr>
      </w:pPr>
    </w:p>
    <w:p w:rsidR="009C50E0" w:rsidRPr="00D233A6" w:rsidRDefault="005A77A9" w:rsidP="00D233A6">
      <w:pPr>
        <w:rPr>
          <w:rFonts w:ascii="Arial" w:hAnsi="Arial" w:cs="Arial"/>
          <w:bCs/>
          <w:sz w:val="22"/>
          <w:szCs w:val="28"/>
          <w:highlight w:val="yellow"/>
        </w:rPr>
      </w:pPr>
      <w:r w:rsidRPr="00C161F7">
        <w:rPr>
          <w:rFonts w:ascii="Arial" w:hAnsi="Arial" w:cs="Arial"/>
          <w:noProof/>
          <w:sz w:val="22"/>
          <w:highlight w:val="yellow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3A1AC80" wp14:editId="1C63986C">
                <wp:simplePos x="0" y="0"/>
                <wp:positionH relativeFrom="column">
                  <wp:posOffset>2514600</wp:posOffset>
                </wp:positionH>
                <wp:positionV relativeFrom="paragraph">
                  <wp:posOffset>501650</wp:posOffset>
                </wp:positionV>
                <wp:extent cx="342900" cy="342900"/>
                <wp:effectExtent l="0" t="3175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9C6" w:rsidRDefault="00B129C6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98pt;margin-top:39.5pt;width:27pt;height:27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" filled="f" stroked="f">
                <v:textbox>
                  <w:txbxContent>
                    <w:p w:rsidR="00B129C6" w:rsidRDefault="00B129C6" w:rsidP="005A77A9"/>
                  </w:txbxContent>
                </v:textbox>
              </v:shape>
            </w:pict>
          </mc:Fallback>
        </mc:AlternateContent>
      </w:r>
    </w:p>
    <w:p w:rsidR="005A77A9" w:rsidRPr="002673D9" w:rsidRDefault="005B3B7F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40" w:name="_Toc481062259"/>
      <w:bookmarkStart w:id="41" w:name="_Toc500762422"/>
      <w:r w:rsidRPr="002673D9">
        <w:rPr>
          <w:rFonts w:ascii="Arial" w:hAnsi="Arial" w:cs="Arial"/>
          <w:sz w:val="22"/>
          <w:szCs w:val="22"/>
          <w:u w:val="single"/>
        </w:rPr>
        <w:lastRenderedPageBreak/>
        <w:t>Ребаланс</w:t>
      </w:r>
      <w:r w:rsidR="002673D9" w:rsidRPr="002673D9">
        <w:rPr>
          <w:rFonts w:ascii="Arial" w:hAnsi="Arial" w:cs="Arial"/>
          <w:sz w:val="22"/>
          <w:szCs w:val="22"/>
          <w:u w:val="single"/>
        </w:rPr>
        <w:t xml:space="preserve"> прихода за 2018</w:t>
      </w:r>
      <w:r w:rsidR="00C27C7F" w:rsidRPr="002673D9">
        <w:rPr>
          <w:rFonts w:ascii="Arial" w:hAnsi="Arial" w:cs="Arial"/>
          <w:sz w:val="22"/>
          <w:szCs w:val="22"/>
          <w:u w:val="single"/>
        </w:rPr>
        <w:t>. годину</w:t>
      </w:r>
      <w:bookmarkEnd w:id="40"/>
      <w:bookmarkEnd w:id="41"/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Latn-RS"/>
        </w:rPr>
      </w:pPr>
    </w:p>
    <w:p w:rsidR="00487896" w:rsidRDefault="00375B8A" w:rsidP="00375B8A">
      <w:pPr>
        <w:pStyle w:val="Caption"/>
        <w:rPr>
          <w:rFonts w:ascii="Arial" w:hAnsi="Arial" w:cs="Arial"/>
          <w:b w:val="0"/>
        </w:rPr>
      </w:pPr>
      <w:bookmarkStart w:id="42" w:name="_Toc500767355"/>
      <w:r w:rsidRPr="005137CF">
        <w:rPr>
          <w:rFonts w:ascii="Arial" w:hAnsi="Arial" w:cs="Arial"/>
          <w:b w:val="0"/>
        </w:rPr>
        <w:t xml:space="preserve">Табела </w:t>
      </w:r>
      <w:r w:rsidRPr="005137CF">
        <w:rPr>
          <w:rFonts w:ascii="Arial" w:hAnsi="Arial" w:cs="Arial"/>
          <w:b w:val="0"/>
        </w:rPr>
        <w:fldChar w:fldCharType="begin"/>
      </w:r>
      <w:r w:rsidRPr="005137CF">
        <w:rPr>
          <w:rFonts w:ascii="Arial" w:hAnsi="Arial" w:cs="Arial"/>
          <w:b w:val="0"/>
        </w:rPr>
        <w:instrText xml:space="preserve"> SEQ Табела \* ARABIC </w:instrText>
      </w:r>
      <w:r w:rsidRPr="005137CF">
        <w:rPr>
          <w:rFonts w:ascii="Arial" w:hAnsi="Arial" w:cs="Arial"/>
          <w:b w:val="0"/>
        </w:rPr>
        <w:fldChar w:fldCharType="separate"/>
      </w:r>
      <w:r w:rsidR="00322822" w:rsidRPr="005137CF">
        <w:rPr>
          <w:rFonts w:ascii="Arial" w:hAnsi="Arial" w:cs="Arial"/>
          <w:b w:val="0"/>
          <w:noProof/>
        </w:rPr>
        <w:t>6</w:t>
      </w:r>
      <w:r w:rsidRPr="005137CF">
        <w:rPr>
          <w:rFonts w:ascii="Arial" w:hAnsi="Arial" w:cs="Arial"/>
          <w:b w:val="0"/>
        </w:rPr>
        <w:fldChar w:fldCharType="end"/>
      </w:r>
      <w:r w:rsidR="005137CF" w:rsidRPr="005137CF">
        <w:rPr>
          <w:rFonts w:ascii="Arial" w:hAnsi="Arial" w:cs="Arial"/>
          <w:b w:val="0"/>
          <w:lang w:val="sr-Cyrl-BA"/>
        </w:rPr>
        <w:t xml:space="preserve"> Ребаланс прихода за 201</w:t>
      </w:r>
      <w:r w:rsidR="005137CF" w:rsidRPr="005137CF">
        <w:rPr>
          <w:rFonts w:ascii="Arial" w:hAnsi="Arial" w:cs="Arial"/>
          <w:b w:val="0"/>
        </w:rPr>
        <w:t>8</w:t>
      </w:r>
      <w:r w:rsidRPr="005137CF">
        <w:rPr>
          <w:rFonts w:ascii="Arial" w:hAnsi="Arial" w:cs="Arial"/>
          <w:b w:val="0"/>
          <w:lang w:val="sr-Cyrl-BA"/>
        </w:rPr>
        <w:t xml:space="preserve">. </w:t>
      </w:r>
      <w:r w:rsidR="005137CF">
        <w:rPr>
          <w:rFonts w:ascii="Arial" w:hAnsi="Arial" w:cs="Arial"/>
          <w:b w:val="0"/>
          <w:lang w:val="sr-Cyrl-BA"/>
        </w:rPr>
        <w:t>годину</w:t>
      </w:r>
      <w:bookmarkEnd w:id="42"/>
    </w:p>
    <w:tbl>
      <w:tblPr>
        <w:tblW w:w="10419" w:type="dxa"/>
        <w:tblInd w:w="18" w:type="dxa"/>
        <w:tblLook w:val="04A0" w:firstRow="1" w:lastRow="0" w:firstColumn="1" w:lastColumn="0" w:noHBand="0" w:noVBand="1"/>
      </w:tblPr>
      <w:tblGrid>
        <w:gridCol w:w="4770"/>
        <w:gridCol w:w="1350"/>
        <w:gridCol w:w="1350"/>
        <w:gridCol w:w="1236"/>
        <w:gridCol w:w="866"/>
        <w:gridCol w:w="847"/>
      </w:tblGrid>
      <w:tr w:rsidR="005137CF" w:rsidTr="00D233A6">
        <w:trPr>
          <w:trHeight w:val="345"/>
        </w:trPr>
        <w:tc>
          <w:tcPr>
            <w:tcW w:w="477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Опис</w:t>
            </w:r>
          </w:p>
        </w:tc>
        <w:tc>
          <w:tcPr>
            <w:tcW w:w="1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Ребаланс 2018.</w:t>
            </w:r>
          </w:p>
        </w:tc>
        <w:tc>
          <w:tcPr>
            <w:tcW w:w="135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План              2018.</w:t>
            </w:r>
          </w:p>
        </w:tc>
        <w:tc>
          <w:tcPr>
            <w:tcW w:w="12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Остварено 2017.</w:t>
            </w:r>
          </w:p>
        </w:tc>
        <w:tc>
          <w:tcPr>
            <w:tcW w:w="86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Индекс  2/3</w:t>
            </w:r>
          </w:p>
        </w:tc>
        <w:tc>
          <w:tcPr>
            <w:tcW w:w="84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Индекс  2/4 </w:t>
            </w:r>
          </w:p>
        </w:tc>
      </w:tr>
      <w:tr w:rsidR="005137CF" w:rsidTr="00D233A6">
        <w:trPr>
          <w:trHeight w:val="244"/>
        </w:trPr>
        <w:tc>
          <w:tcPr>
            <w:tcW w:w="477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  ПОСЛОВНИ ПРИХОДИ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94.404.508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93.211.679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95.944.562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847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Приходи од продаје робе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90.236.943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88.662.595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91.117.318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а) повезаним правним лицима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1.537.197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1.505.115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1.507.864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</w:tr>
      <w:tr w:rsidR="005137CF" w:rsidTr="00D233A6">
        <w:trPr>
          <w:trHeight w:val="80"/>
        </w:trPr>
        <w:tc>
          <w:tcPr>
            <w:tcW w:w="477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б) на домаћем тржишту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88.699.746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87.157.480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89.609.454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5137CF" w:rsidTr="00D233A6">
        <w:trPr>
          <w:trHeight w:val="80"/>
        </w:trPr>
        <w:tc>
          <w:tcPr>
            <w:tcW w:w="4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ц) на ино тржишту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Приходи од продаје учинака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2.147.565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2.049.084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2.029.297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а) повезаним правним лицима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428.765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399.084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298.095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б) на домаћем тржишту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1.718.800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1.650.000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1.731.202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ц) на ино тржишту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Приходи од активирања или потрошње робе и учинака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420.000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700.000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403.173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Повећање вриједности залиха учинака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Смањење вриједности залиха учинака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Остали пословни приходи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1.800.000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2.394.774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  ФИНАНСИЈСКИ ПРИХОДИ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2.715.884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3.200.800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2.741.490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Фин. прих. oд повезаних правних лица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Приходи  од камата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2.715.000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3.200.000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2.738.953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Позитивне курсне разлике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Приходи од ефеката валутне клаузуле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Прих. од учешћа у добитку заједничких улагања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Остали финансијски приходи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521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170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  ОСТАЛИ  ПРИХОДИ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3.091.351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2.010.000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17.718.609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17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Добици по ос. продаје нематеријалних средстава, некретнина, постројења и опреме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10.000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10.000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11.504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</w:tr>
      <w:tr w:rsidR="005137CF" w:rsidTr="00D233A6">
        <w:trPr>
          <w:trHeight w:val="244"/>
        </w:trPr>
        <w:tc>
          <w:tcPr>
            <w:tcW w:w="4770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Добици по ос. продаје инвест. некретнина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Добици по ос. продаје биолошких средстава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Доб. по ос. прод. средс. обустављеног пословања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Доб. по ос. прод. учешћа у капиталу и  ХОВ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Добици по ос. прод. материјала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1.351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 Вишкови, изузимајући вишкове залиха учинака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14.959.185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5137CF" w:rsidTr="00D233A6">
        <w:trPr>
          <w:trHeight w:val="255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Наплаћена отписана потраживања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1.137.604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 Приходи по ос. уговорене заштите од ризика, који не испуњавају услове да се искажу у оквиру ревалоризационих резерви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70"/>
        </w:trPr>
        <w:tc>
          <w:tcPr>
            <w:tcW w:w="47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 Приходи од смањења обавеза, укидања неискоришћених дугор. резервисања и остали непоменути приходи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1.480.000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1.100.000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1.609.226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</w:tr>
      <w:tr w:rsidR="005137CF" w:rsidTr="00D233A6">
        <w:trPr>
          <w:trHeight w:val="27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  УКУПНИ ПРИХОДИ (I+II+III)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100.211.743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98.422.479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116.404.661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V  Приходи од усклађивања. вријед. имовине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18.742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37CF" w:rsidRDefault="005137C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  ПРИХОДИ ПО ОСНОВУ ПРОМЈЕНЕ РАЧУНОВОТСТВЕНИХ ПОЛИТИКА И ИСПРАВКЕ ГРЕШАКА ИЗ РАНИЈИХ ГОДИНА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5137CF" w:rsidTr="00D233A6">
        <w:trPr>
          <w:trHeight w:val="60"/>
        </w:trPr>
        <w:tc>
          <w:tcPr>
            <w:tcW w:w="477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137CF" w:rsidRDefault="005137C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УКУПНО ПРИХОДИ (IV+V+VI)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100.211.743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98.422.479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116.423.403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5137CF" w:rsidRDefault="005137CF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</w:tr>
    </w:tbl>
    <w:p w:rsidR="009C2941" w:rsidRPr="00C161F7" w:rsidRDefault="009C2941" w:rsidP="001E6892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2673D9" w:rsidRDefault="005A77A9" w:rsidP="001E6892">
      <w:pPr>
        <w:jc w:val="both"/>
        <w:rPr>
          <w:rFonts w:ascii="Arial" w:hAnsi="Arial" w:cs="Arial"/>
          <w:sz w:val="22"/>
          <w:lang w:val="sr-Cyrl-CS"/>
        </w:rPr>
      </w:pPr>
      <w:r w:rsidRPr="002673D9">
        <w:rPr>
          <w:rFonts w:ascii="Arial" w:hAnsi="Arial" w:cs="Arial"/>
          <w:sz w:val="22"/>
          <w:lang w:val="sr-Cyrl-CS"/>
        </w:rPr>
        <w:t xml:space="preserve">Структура укупних прихода Предузећа планираних према </w:t>
      </w:r>
      <w:r w:rsidR="008B62D4" w:rsidRPr="002673D9">
        <w:rPr>
          <w:rFonts w:ascii="Arial" w:hAnsi="Arial" w:cs="Arial"/>
          <w:sz w:val="22"/>
          <w:lang w:val="sr-Cyrl-CS"/>
        </w:rPr>
        <w:t>Ребалансу плана</w:t>
      </w:r>
      <w:r w:rsidRPr="002673D9">
        <w:rPr>
          <w:rFonts w:ascii="Arial" w:hAnsi="Arial" w:cs="Arial"/>
          <w:sz w:val="22"/>
          <w:lang w:val="sr-Cyrl-CS"/>
        </w:rPr>
        <w:t xml:space="preserve"> пословања за 20</w:t>
      </w:r>
      <w:r w:rsidR="00042060" w:rsidRPr="002673D9">
        <w:rPr>
          <w:rFonts w:ascii="Arial" w:hAnsi="Arial" w:cs="Arial"/>
          <w:sz w:val="22"/>
        </w:rPr>
        <w:t>1</w:t>
      </w:r>
      <w:r w:rsidR="002673D9" w:rsidRPr="002673D9">
        <w:rPr>
          <w:rFonts w:ascii="Arial" w:hAnsi="Arial" w:cs="Arial"/>
          <w:sz w:val="22"/>
          <w:lang w:val="sr-Cyrl-BA"/>
        </w:rPr>
        <w:t>8</w:t>
      </w:r>
      <w:r w:rsidRPr="002673D9">
        <w:rPr>
          <w:rFonts w:ascii="Arial" w:hAnsi="Arial" w:cs="Arial"/>
          <w:sz w:val="22"/>
          <w:lang w:val="sr-Cyrl-BA"/>
        </w:rPr>
        <w:t>.</w:t>
      </w:r>
      <w:r w:rsidRPr="002673D9">
        <w:rPr>
          <w:rFonts w:ascii="Arial" w:hAnsi="Arial" w:cs="Arial"/>
          <w:sz w:val="22"/>
          <w:lang w:val="sr-Cyrl-CS"/>
        </w:rPr>
        <w:t xml:space="preserve"> годину, садржи </w:t>
      </w:r>
      <w:r w:rsidR="001E6892" w:rsidRPr="002673D9">
        <w:rPr>
          <w:rFonts w:ascii="Arial" w:hAnsi="Arial" w:cs="Arial"/>
          <w:sz w:val="22"/>
          <w:lang w:val="sr-Cyrl-CS"/>
        </w:rPr>
        <w:t>пословне приходе, финансијске, остале приходе и приходе од усклађивања вриједности имовине.</w:t>
      </w:r>
    </w:p>
    <w:p w:rsidR="001E6892" w:rsidRPr="002673D9" w:rsidRDefault="001E6892" w:rsidP="001E6892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2673D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2673D9">
        <w:rPr>
          <w:rFonts w:ascii="Arial" w:hAnsi="Arial" w:cs="Arial"/>
          <w:sz w:val="22"/>
          <w:lang w:val="sr-Cyrl-CS"/>
        </w:rPr>
        <w:t>У оквиру појединих категорија планиране су следеће величине: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2673D9" w:rsidRDefault="005A77A9" w:rsidP="005A77A9">
      <w:pPr>
        <w:keepNext/>
        <w:ind w:left="720"/>
        <w:jc w:val="both"/>
        <w:outlineLvl w:val="7"/>
        <w:rPr>
          <w:rFonts w:ascii="Arial" w:hAnsi="Arial" w:cs="Arial"/>
          <w:b/>
          <w:color w:val="000000"/>
          <w:sz w:val="22"/>
          <w:lang w:val="sr-Cyrl-CS"/>
        </w:rPr>
      </w:pPr>
      <w:r w:rsidRPr="002673D9">
        <w:rPr>
          <w:rFonts w:ascii="Arial" w:hAnsi="Arial" w:cs="Arial"/>
          <w:b/>
          <w:color w:val="000000"/>
          <w:sz w:val="22"/>
          <w:lang w:val="sr-Cyrl-CS"/>
        </w:rPr>
        <w:t>ПОСЛОВНИ ПРИХОД</w:t>
      </w:r>
    </w:p>
    <w:p w:rsidR="005A77A9" w:rsidRPr="002673D9" w:rsidRDefault="005A77A9" w:rsidP="005A77A9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5A77A9" w:rsidRPr="002673D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2673D9">
        <w:rPr>
          <w:rFonts w:ascii="Arial" w:hAnsi="Arial" w:cs="Arial"/>
          <w:color w:val="000000"/>
          <w:sz w:val="22"/>
          <w:lang w:val="sr-Cyrl-CS"/>
        </w:rPr>
        <w:t>Пословни приходи имају</w:t>
      </w:r>
      <w:r w:rsidRPr="002673D9">
        <w:rPr>
          <w:rFonts w:ascii="Arial" w:hAnsi="Arial" w:cs="Arial"/>
          <w:sz w:val="22"/>
          <w:lang w:val="sr-Cyrl-CS"/>
        </w:rPr>
        <w:t xml:space="preserve"> процентуално највеће учешће. Планирани приходи су</w:t>
      </w:r>
      <w:r w:rsidR="00883C28" w:rsidRPr="002673D9">
        <w:rPr>
          <w:rFonts w:ascii="Arial" w:hAnsi="Arial" w:cs="Arial"/>
          <w:sz w:val="22"/>
          <w:lang w:val="sr-Latn-RS"/>
        </w:rPr>
        <w:t xml:space="preserve"> 9</w:t>
      </w:r>
      <w:r w:rsidR="002673D9" w:rsidRPr="002673D9">
        <w:rPr>
          <w:rFonts w:ascii="Arial" w:hAnsi="Arial" w:cs="Arial"/>
          <w:sz w:val="22"/>
          <w:lang w:val="sr-Cyrl-CS"/>
        </w:rPr>
        <w:t>4</w:t>
      </w:r>
      <w:r w:rsidR="00FA0845" w:rsidRPr="002673D9">
        <w:rPr>
          <w:rFonts w:ascii="Arial" w:hAnsi="Arial" w:cs="Arial"/>
          <w:sz w:val="22"/>
          <w:lang w:val="sr-Latn-RS"/>
        </w:rPr>
        <w:t>,</w:t>
      </w:r>
      <w:r w:rsidR="002673D9" w:rsidRPr="002673D9">
        <w:rPr>
          <w:rFonts w:ascii="Arial" w:hAnsi="Arial" w:cs="Arial"/>
          <w:sz w:val="22"/>
          <w:lang w:val="sr-Cyrl-CS"/>
        </w:rPr>
        <w:t>404</w:t>
      </w:r>
      <w:r w:rsidRPr="002673D9">
        <w:rPr>
          <w:rFonts w:ascii="Arial" w:hAnsi="Arial" w:cs="Arial"/>
          <w:sz w:val="22"/>
          <w:lang w:val="sr-Cyrl-CS"/>
        </w:rPr>
        <w:t xml:space="preserve"> мил. КМ. У оквиру пословних прихода планирани су приходи од продаје електричне енергије и услуга на домаћем тржишту.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12326F" w:rsidRDefault="005A77A9" w:rsidP="00611B3A">
      <w:pPr>
        <w:pStyle w:val="ListParagraph"/>
        <w:numPr>
          <w:ilvl w:val="0"/>
          <w:numId w:val="29"/>
        </w:numPr>
        <w:rPr>
          <w:rFonts w:ascii="Arial" w:hAnsi="Arial" w:cs="Arial"/>
          <w:b/>
        </w:rPr>
      </w:pPr>
      <w:r w:rsidRPr="0012326F">
        <w:rPr>
          <w:rFonts w:ascii="Arial" w:hAnsi="Arial" w:cs="Arial"/>
          <w:b/>
          <w:lang w:val="sr-Cyrl-CS"/>
        </w:rPr>
        <w:t>Приход од продаје ел</w:t>
      </w:r>
      <w:r w:rsidRPr="0012326F">
        <w:rPr>
          <w:rFonts w:ascii="Arial" w:hAnsi="Arial" w:cs="Arial"/>
          <w:b/>
          <w:lang w:val="sr-Cyrl-RS"/>
        </w:rPr>
        <w:t>ектричне</w:t>
      </w:r>
      <w:r w:rsidRPr="0012326F">
        <w:rPr>
          <w:rFonts w:ascii="Arial" w:hAnsi="Arial" w:cs="Arial"/>
          <w:b/>
          <w:lang w:val="sr-Cyrl-CS"/>
        </w:rPr>
        <w:t xml:space="preserve"> енергије</w:t>
      </w:r>
    </w:p>
    <w:p w:rsidR="005A77A9" w:rsidRPr="00C161F7" w:rsidRDefault="005A77A9" w:rsidP="005A77A9">
      <w:pPr>
        <w:ind w:left="720"/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12326F" w:rsidRDefault="005A77A9" w:rsidP="005A77A9">
      <w:pPr>
        <w:jc w:val="both"/>
        <w:rPr>
          <w:rFonts w:ascii="Arial" w:hAnsi="Arial" w:cs="Arial"/>
          <w:sz w:val="22"/>
          <w:lang w:val="sr-Cyrl-RS"/>
        </w:rPr>
      </w:pPr>
      <w:r w:rsidRPr="0012326F">
        <w:rPr>
          <w:rFonts w:ascii="Arial" w:hAnsi="Arial" w:cs="Arial"/>
          <w:sz w:val="22"/>
          <w:lang w:val="sr-Cyrl-CS"/>
        </w:rPr>
        <w:t xml:space="preserve">Основ за формирање прихода од продаје електричне енергије у </w:t>
      </w:r>
      <w:r w:rsidR="00E7430A" w:rsidRPr="0012326F">
        <w:rPr>
          <w:rFonts w:ascii="Arial" w:hAnsi="Arial" w:cs="Arial"/>
          <w:sz w:val="22"/>
          <w:lang w:val="sr-Cyrl-CS"/>
        </w:rPr>
        <w:t xml:space="preserve">Ребалансу плана </w:t>
      </w:r>
      <w:r w:rsidR="00042060" w:rsidRPr="0012326F">
        <w:rPr>
          <w:rFonts w:ascii="Arial" w:hAnsi="Arial" w:cs="Arial"/>
          <w:sz w:val="22"/>
        </w:rPr>
        <w:t xml:space="preserve"> пословања за 201</w:t>
      </w:r>
      <w:r w:rsidR="0012326F" w:rsidRPr="0012326F">
        <w:rPr>
          <w:rFonts w:ascii="Arial" w:hAnsi="Arial" w:cs="Arial"/>
          <w:sz w:val="22"/>
        </w:rPr>
        <w:t>8</w:t>
      </w:r>
      <w:r w:rsidRPr="0012326F">
        <w:rPr>
          <w:rFonts w:ascii="Arial" w:hAnsi="Arial" w:cs="Arial"/>
          <w:sz w:val="22"/>
        </w:rPr>
        <w:t>. годину</w:t>
      </w:r>
      <w:r w:rsidRPr="0012326F">
        <w:rPr>
          <w:rFonts w:ascii="Arial" w:hAnsi="Arial" w:cs="Arial"/>
          <w:sz w:val="22"/>
          <w:lang w:val="sr-Cyrl-CS"/>
        </w:rPr>
        <w:t xml:space="preserve"> је планирана нето дистрибутивна потрошња према </w:t>
      </w:r>
      <w:r w:rsidR="00E7430A" w:rsidRPr="0012326F">
        <w:rPr>
          <w:rFonts w:ascii="Arial" w:hAnsi="Arial" w:cs="Arial"/>
          <w:sz w:val="22"/>
          <w:lang w:val="sr-Cyrl-CS"/>
        </w:rPr>
        <w:t xml:space="preserve">Ребалансу </w:t>
      </w:r>
      <w:r w:rsidRPr="0012326F">
        <w:rPr>
          <w:rFonts w:ascii="Arial" w:hAnsi="Arial" w:cs="Arial"/>
          <w:sz w:val="22"/>
          <w:lang w:val="sr-Cyrl-CS"/>
        </w:rPr>
        <w:t>Е</w:t>
      </w:r>
      <w:r w:rsidRPr="0012326F">
        <w:rPr>
          <w:rFonts w:ascii="Arial" w:hAnsi="Arial" w:cs="Arial"/>
          <w:sz w:val="22"/>
        </w:rPr>
        <w:t>лектроенергетск</w:t>
      </w:r>
      <w:r w:rsidR="00E7430A" w:rsidRPr="0012326F">
        <w:rPr>
          <w:rFonts w:ascii="Arial" w:hAnsi="Arial" w:cs="Arial"/>
          <w:sz w:val="22"/>
          <w:lang w:val="sr-Cyrl-BA"/>
        </w:rPr>
        <w:t>ог</w:t>
      </w:r>
      <w:r w:rsidRPr="0012326F">
        <w:rPr>
          <w:rFonts w:ascii="Arial" w:hAnsi="Arial" w:cs="Arial"/>
          <w:sz w:val="22"/>
        </w:rPr>
        <w:t xml:space="preserve"> биланс</w:t>
      </w:r>
      <w:r w:rsidR="00E7430A" w:rsidRPr="0012326F">
        <w:rPr>
          <w:rFonts w:ascii="Arial" w:hAnsi="Arial" w:cs="Arial"/>
          <w:sz w:val="22"/>
          <w:lang w:val="sr-Cyrl-RS"/>
        </w:rPr>
        <w:t>а</w:t>
      </w:r>
      <w:r w:rsidRPr="0012326F">
        <w:rPr>
          <w:rFonts w:ascii="Arial" w:hAnsi="Arial" w:cs="Arial"/>
          <w:sz w:val="22"/>
          <w:lang w:val="sr-Cyrl-RS"/>
        </w:rPr>
        <w:t xml:space="preserve"> за 201</w:t>
      </w:r>
      <w:r w:rsidR="0012326F" w:rsidRPr="0012326F">
        <w:rPr>
          <w:rFonts w:ascii="Arial" w:hAnsi="Arial" w:cs="Arial"/>
          <w:sz w:val="22"/>
        </w:rPr>
        <w:t>8</w:t>
      </w:r>
      <w:r w:rsidRPr="0012326F">
        <w:rPr>
          <w:rFonts w:ascii="Arial" w:hAnsi="Arial" w:cs="Arial"/>
          <w:sz w:val="22"/>
          <w:lang w:val="sr-Cyrl-RS"/>
        </w:rPr>
        <w:t>.годину</w:t>
      </w:r>
      <w:r w:rsidRPr="0012326F">
        <w:rPr>
          <w:rFonts w:ascii="Arial" w:hAnsi="Arial" w:cs="Arial"/>
          <w:sz w:val="22"/>
          <w:lang w:val="sr-Cyrl-CS"/>
        </w:rPr>
        <w:t xml:space="preserve"> и планирана цијена електричне енергије утврђена на основу тарифних ставова за неквалификоване купце електричне енергије у Републици Српској. 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szCs w:val="20"/>
          <w:highlight w:val="yellow"/>
        </w:rPr>
      </w:pPr>
    </w:p>
    <w:p w:rsidR="005A77A9" w:rsidRPr="0012326F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12326F">
        <w:rPr>
          <w:rFonts w:ascii="Arial" w:hAnsi="Arial" w:cs="Arial"/>
          <w:sz w:val="22"/>
          <w:lang w:val="sr-Cyrl-CS"/>
        </w:rPr>
        <w:t>Планирана нето дистрибутивна потрошња према</w:t>
      </w:r>
      <w:r w:rsidR="00E7430A" w:rsidRPr="0012326F">
        <w:rPr>
          <w:rFonts w:ascii="Arial" w:hAnsi="Arial" w:cs="Arial"/>
          <w:sz w:val="22"/>
          <w:lang w:val="sr-Cyrl-CS"/>
        </w:rPr>
        <w:t xml:space="preserve"> Ребалансу Електроенергетског биланса</w:t>
      </w:r>
      <w:r w:rsidRPr="0012326F">
        <w:rPr>
          <w:rFonts w:ascii="Arial" w:hAnsi="Arial" w:cs="Arial"/>
          <w:sz w:val="22"/>
          <w:lang w:val="sr-Cyrl-CS"/>
        </w:rPr>
        <w:t xml:space="preserve"> </w:t>
      </w:r>
      <w:r w:rsidRPr="0012326F">
        <w:rPr>
          <w:rFonts w:ascii="Arial" w:hAnsi="Arial" w:cs="Arial"/>
          <w:sz w:val="22"/>
        </w:rPr>
        <w:t xml:space="preserve">за </w:t>
      </w:r>
      <w:r w:rsidRPr="0012326F">
        <w:rPr>
          <w:rFonts w:ascii="Arial" w:hAnsi="Arial" w:cs="Arial"/>
          <w:sz w:val="22"/>
          <w:lang w:val="sr-Cyrl-CS"/>
        </w:rPr>
        <w:t>20</w:t>
      </w:r>
      <w:r w:rsidR="00042060" w:rsidRPr="0012326F">
        <w:rPr>
          <w:rFonts w:ascii="Arial" w:hAnsi="Arial" w:cs="Arial"/>
          <w:sz w:val="22"/>
        </w:rPr>
        <w:t>1</w:t>
      </w:r>
      <w:r w:rsidR="0012326F" w:rsidRPr="0012326F">
        <w:rPr>
          <w:rFonts w:ascii="Arial" w:hAnsi="Arial" w:cs="Arial"/>
          <w:sz w:val="22"/>
        </w:rPr>
        <w:t>8</w:t>
      </w:r>
      <w:r w:rsidRPr="0012326F">
        <w:rPr>
          <w:rFonts w:ascii="Arial" w:hAnsi="Arial" w:cs="Arial"/>
          <w:sz w:val="22"/>
          <w:lang w:val="sr-Cyrl-CS"/>
        </w:rPr>
        <w:t xml:space="preserve">. </w:t>
      </w:r>
      <w:r w:rsidRPr="0012326F">
        <w:rPr>
          <w:rFonts w:ascii="Arial" w:hAnsi="Arial" w:cs="Arial"/>
          <w:sz w:val="22"/>
        </w:rPr>
        <w:t xml:space="preserve">годину </w:t>
      </w:r>
      <w:r w:rsidRPr="0012326F">
        <w:rPr>
          <w:rFonts w:ascii="Arial" w:hAnsi="Arial" w:cs="Arial"/>
          <w:sz w:val="22"/>
          <w:lang w:val="sr-Cyrl-CS"/>
        </w:rPr>
        <w:t xml:space="preserve">износи </w:t>
      </w:r>
      <w:r w:rsidR="0012326F" w:rsidRPr="0012326F">
        <w:rPr>
          <w:rFonts w:ascii="Arial" w:hAnsi="Arial" w:cs="Arial"/>
          <w:sz w:val="22"/>
        </w:rPr>
        <w:t>659</w:t>
      </w:r>
      <w:r w:rsidR="009A5340" w:rsidRPr="0012326F">
        <w:rPr>
          <w:rFonts w:ascii="Arial" w:hAnsi="Arial" w:cs="Arial"/>
          <w:sz w:val="22"/>
        </w:rPr>
        <w:t>,</w:t>
      </w:r>
      <w:r w:rsidR="0012326F" w:rsidRPr="0012326F">
        <w:rPr>
          <w:rFonts w:ascii="Arial" w:hAnsi="Arial" w:cs="Arial"/>
          <w:sz w:val="22"/>
        </w:rPr>
        <w:t>09</w:t>
      </w:r>
      <w:r w:rsidR="009A5340" w:rsidRPr="0012326F">
        <w:rPr>
          <w:rFonts w:ascii="Arial" w:hAnsi="Arial" w:cs="Arial"/>
          <w:sz w:val="22"/>
        </w:rPr>
        <w:t xml:space="preserve"> </w:t>
      </w:r>
      <w:r w:rsidRPr="0012326F">
        <w:rPr>
          <w:rFonts w:ascii="Arial" w:hAnsi="Arial" w:cs="Arial"/>
          <w:sz w:val="22"/>
          <w:lang w:val="sr-Latn-CS"/>
        </w:rPr>
        <w:t>GWh</w:t>
      </w:r>
      <w:r w:rsidRPr="0012326F">
        <w:rPr>
          <w:rFonts w:ascii="Arial" w:hAnsi="Arial" w:cs="Arial"/>
          <w:sz w:val="22"/>
          <w:lang w:val="sr-Cyrl-CS"/>
        </w:rPr>
        <w:t xml:space="preserve"> (за тарифне купце). С обзиром да је Електропривреда РС тражила издвајање директних потрошача на 110 </w:t>
      </w:r>
      <w:r w:rsidRPr="0012326F">
        <w:rPr>
          <w:rFonts w:ascii="Arial" w:hAnsi="Arial" w:cs="Arial"/>
          <w:sz w:val="22"/>
          <w:lang w:val="sr-Latn-CS"/>
        </w:rPr>
        <w:t>kV</w:t>
      </w:r>
      <w:r w:rsidRPr="0012326F">
        <w:rPr>
          <w:rFonts w:ascii="Arial" w:hAnsi="Arial" w:cs="Arial"/>
          <w:sz w:val="22"/>
          <w:lang w:val="sr-Cyrl-CS"/>
        </w:rPr>
        <w:t xml:space="preserve"> почев од 2007. године, износ од</w:t>
      </w:r>
      <w:r w:rsidR="00042060" w:rsidRPr="0012326F">
        <w:rPr>
          <w:rFonts w:ascii="Arial" w:hAnsi="Arial" w:cs="Arial"/>
          <w:sz w:val="22"/>
          <w:lang w:val="sr-Cyrl-RS"/>
        </w:rPr>
        <w:t xml:space="preserve"> </w:t>
      </w:r>
      <w:r w:rsidR="009A5340" w:rsidRPr="0012326F">
        <w:rPr>
          <w:rFonts w:ascii="Arial" w:hAnsi="Arial" w:cs="Arial"/>
          <w:sz w:val="22"/>
        </w:rPr>
        <w:t>9</w:t>
      </w:r>
      <w:r w:rsidR="0012326F" w:rsidRPr="0012326F">
        <w:rPr>
          <w:rFonts w:ascii="Arial" w:hAnsi="Arial" w:cs="Arial"/>
          <w:sz w:val="22"/>
        </w:rPr>
        <w:t>7</w:t>
      </w:r>
      <w:r w:rsidR="009A5340" w:rsidRPr="0012326F">
        <w:rPr>
          <w:rFonts w:ascii="Arial" w:hAnsi="Arial" w:cs="Arial"/>
          <w:sz w:val="22"/>
          <w:lang w:val="sr-Cyrl-RS"/>
        </w:rPr>
        <w:t>,</w:t>
      </w:r>
      <w:r w:rsidR="0012326F" w:rsidRPr="0012326F">
        <w:rPr>
          <w:rFonts w:ascii="Arial" w:hAnsi="Arial" w:cs="Arial"/>
          <w:sz w:val="22"/>
        </w:rPr>
        <w:t>16</w:t>
      </w:r>
      <w:r w:rsidR="00883C28" w:rsidRPr="0012326F">
        <w:rPr>
          <w:rFonts w:ascii="Arial" w:hAnsi="Arial" w:cs="Arial"/>
          <w:sz w:val="22"/>
          <w:lang w:val="sr-Cyrl-BA"/>
        </w:rPr>
        <w:t xml:space="preserve"> </w:t>
      </w:r>
      <w:r w:rsidRPr="0012326F">
        <w:rPr>
          <w:rFonts w:ascii="Arial" w:hAnsi="Arial" w:cs="Arial"/>
          <w:sz w:val="22"/>
          <w:lang w:val="sr-Latn-CS"/>
        </w:rPr>
        <w:t>GWh</w:t>
      </w:r>
      <w:r w:rsidRPr="0012326F">
        <w:rPr>
          <w:rFonts w:ascii="Arial" w:hAnsi="Arial" w:cs="Arial"/>
          <w:sz w:val="22"/>
          <w:lang w:val="sr-Cyrl-CS"/>
        </w:rPr>
        <w:t xml:space="preserve"> на име потрошње ФГ ''Алумина'' води се одвојено у </w:t>
      </w:r>
      <w:r w:rsidRPr="0012326F">
        <w:rPr>
          <w:rFonts w:ascii="Arial" w:hAnsi="Arial" w:cs="Arial"/>
          <w:sz w:val="22"/>
          <w:lang w:val="sr-Cyrl-RS"/>
        </w:rPr>
        <w:t>е</w:t>
      </w:r>
      <w:r w:rsidRPr="0012326F">
        <w:rPr>
          <w:rFonts w:ascii="Arial" w:hAnsi="Arial" w:cs="Arial"/>
          <w:sz w:val="22"/>
          <w:lang w:val="sr-Cyrl-CS"/>
        </w:rPr>
        <w:t xml:space="preserve">лектроенергетском билансу. 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B129C6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B129C6">
        <w:rPr>
          <w:rFonts w:ascii="Arial" w:hAnsi="Arial" w:cs="Arial"/>
          <w:sz w:val="22"/>
          <w:lang w:val="sr-Cyrl-CS"/>
        </w:rPr>
        <w:t>Приход од продаје ел. енергије у ребал</w:t>
      </w:r>
      <w:r w:rsidR="00042060" w:rsidRPr="00B129C6">
        <w:rPr>
          <w:rFonts w:ascii="Arial" w:hAnsi="Arial" w:cs="Arial"/>
          <w:sz w:val="22"/>
          <w:lang w:val="sr-Cyrl-CS"/>
        </w:rPr>
        <w:t xml:space="preserve">ансу ЕЕБ формиран је на бази </w:t>
      </w:r>
      <w:r w:rsidR="00B129C6" w:rsidRPr="00B129C6">
        <w:rPr>
          <w:rFonts w:ascii="Arial" w:hAnsi="Arial" w:cs="Arial"/>
          <w:sz w:val="22"/>
          <w:lang w:val="sr-Latn-RS"/>
        </w:rPr>
        <w:t>8,35</w:t>
      </w:r>
      <w:r w:rsidR="00FA0845" w:rsidRPr="00B129C6">
        <w:rPr>
          <w:rFonts w:ascii="Arial" w:hAnsi="Arial" w:cs="Arial"/>
          <w:sz w:val="22"/>
          <w:lang w:val="sr-Latn-RS"/>
        </w:rPr>
        <w:t>%</w:t>
      </w:r>
      <w:r w:rsidRPr="00B129C6">
        <w:rPr>
          <w:rFonts w:ascii="Arial" w:hAnsi="Arial" w:cs="Arial"/>
          <w:sz w:val="22"/>
          <w:lang w:val="sr-Cyrl-CS"/>
        </w:rPr>
        <w:t xml:space="preserve"> губитака (укључујући и потрошњу ФГ ''Алумина''), док су губици без 110 </w:t>
      </w:r>
      <w:r w:rsidRPr="00B129C6">
        <w:rPr>
          <w:rFonts w:ascii="Arial" w:hAnsi="Arial" w:cs="Arial"/>
          <w:sz w:val="22"/>
          <w:lang w:val="sr-Latn-CS"/>
        </w:rPr>
        <w:t xml:space="preserve">kV </w:t>
      </w:r>
      <w:r w:rsidR="00042060" w:rsidRPr="00B129C6">
        <w:rPr>
          <w:rFonts w:ascii="Arial" w:hAnsi="Arial" w:cs="Arial"/>
          <w:sz w:val="22"/>
          <w:lang w:val="sr-Cyrl-CS"/>
        </w:rPr>
        <w:t xml:space="preserve">потрошње </w:t>
      </w:r>
      <w:r w:rsidR="0012326F" w:rsidRPr="00B129C6">
        <w:rPr>
          <w:rFonts w:ascii="Arial" w:hAnsi="Arial" w:cs="Arial"/>
          <w:sz w:val="22"/>
        </w:rPr>
        <w:t>9.45</w:t>
      </w:r>
      <w:r w:rsidRPr="00B129C6">
        <w:rPr>
          <w:rFonts w:ascii="Arial" w:hAnsi="Arial" w:cs="Arial"/>
          <w:sz w:val="22"/>
          <w:lang w:val="sr-Cyrl-CS"/>
        </w:rPr>
        <w:t>%.</w:t>
      </w:r>
    </w:p>
    <w:p w:rsidR="005A77A9" w:rsidRPr="00C161F7" w:rsidRDefault="005A77A9" w:rsidP="005A77A9">
      <w:pPr>
        <w:ind w:firstLine="360"/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F977F6" w:rsidRDefault="005A77A9" w:rsidP="005A77A9">
      <w:pPr>
        <w:jc w:val="both"/>
        <w:rPr>
          <w:rFonts w:ascii="Arial" w:hAnsi="Arial" w:cs="Arial"/>
          <w:sz w:val="22"/>
        </w:rPr>
      </w:pPr>
      <w:r w:rsidRPr="00F977F6">
        <w:rPr>
          <w:rFonts w:ascii="Arial" w:hAnsi="Arial" w:cs="Arial"/>
          <w:sz w:val="22"/>
          <w:lang w:val="sr-Cyrl-CS"/>
        </w:rPr>
        <w:t>На основу напријед наведених количи</w:t>
      </w:r>
      <w:r w:rsidR="00042060" w:rsidRPr="00F977F6">
        <w:rPr>
          <w:rFonts w:ascii="Arial" w:hAnsi="Arial" w:cs="Arial"/>
          <w:sz w:val="22"/>
          <w:lang w:val="sr-Cyrl-CS"/>
        </w:rPr>
        <w:t xml:space="preserve">на и цијена добија се износ од </w:t>
      </w:r>
      <w:r w:rsidR="00F977F6" w:rsidRPr="00F977F6">
        <w:rPr>
          <w:rFonts w:ascii="Arial" w:hAnsi="Arial" w:cs="Arial"/>
          <w:sz w:val="22"/>
          <w:lang w:val="sr-Latn-RS"/>
        </w:rPr>
        <w:t>90,67</w:t>
      </w:r>
      <w:r w:rsidRPr="00F977F6">
        <w:rPr>
          <w:rFonts w:ascii="Arial" w:hAnsi="Arial" w:cs="Arial"/>
          <w:sz w:val="22"/>
          <w:lang w:val="sr-Cyrl-CS"/>
        </w:rPr>
        <w:t xml:space="preserve"> мил. КМ, што представља приход од продаје енергије на домаћем тржишту</w:t>
      </w:r>
      <w:r w:rsidRPr="00F977F6">
        <w:rPr>
          <w:rFonts w:ascii="Arial" w:hAnsi="Arial" w:cs="Arial"/>
          <w:sz w:val="22"/>
        </w:rPr>
        <w:t>.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750AD" w:rsidRPr="004B2428" w:rsidRDefault="005750AD" w:rsidP="005750AD">
      <w:pPr>
        <w:jc w:val="both"/>
        <w:rPr>
          <w:rFonts w:ascii="Arial" w:hAnsi="Arial" w:cs="Arial"/>
          <w:bCs/>
          <w:sz w:val="22"/>
          <w:szCs w:val="22"/>
          <w:lang w:val="sr-Cyrl-BA"/>
        </w:rPr>
      </w:pPr>
      <w:r w:rsidRPr="005A77A9">
        <w:rPr>
          <w:rFonts w:ascii="Arial" w:hAnsi="Arial" w:cs="Arial"/>
          <w:sz w:val="22"/>
          <w:lang w:val="sr-Cyrl-CS"/>
        </w:rPr>
        <w:t>Електроенергетски биланс ЗЕДП ''Електро-Бијељина'' а.д. садржи поред планираних количина потошње електричне ен</w:t>
      </w:r>
      <w:r w:rsidRPr="005A77A9">
        <w:rPr>
          <w:rFonts w:ascii="Arial" w:hAnsi="Arial" w:cs="Arial"/>
          <w:sz w:val="22"/>
        </w:rPr>
        <w:t>е</w:t>
      </w:r>
      <w:r w:rsidRPr="005A77A9">
        <w:rPr>
          <w:rFonts w:ascii="Arial" w:hAnsi="Arial" w:cs="Arial"/>
          <w:sz w:val="22"/>
          <w:lang w:val="sr-Cyrl-CS"/>
        </w:rPr>
        <w:t xml:space="preserve">ргије преузете из система и планирану проиозводњу двије мале хидроелектране (Власеница и Тишча). Производња електричне енергије у малим хидроелектранама према ЕЕБ планирана је у износима на нивоу просјека за последње три године. Приход од производње МХЕ чини око </w:t>
      </w:r>
      <w:r>
        <w:rPr>
          <w:rFonts w:ascii="Arial" w:hAnsi="Arial" w:cs="Arial"/>
          <w:sz w:val="22"/>
          <w:lang w:val="sr-Cyrl-CS"/>
        </w:rPr>
        <w:t>1,2% реализације Предузећа</w:t>
      </w:r>
      <w:r w:rsidRPr="005A77A9">
        <w:rPr>
          <w:rFonts w:ascii="Arial" w:hAnsi="Arial" w:cs="Arial"/>
          <w:sz w:val="22"/>
          <w:lang w:val="sr-Cyrl-CS"/>
        </w:rPr>
        <w:t>. Утицај производње МХЕ на ЕЕ</w:t>
      </w:r>
      <w:r w:rsidRPr="005A77A9">
        <w:rPr>
          <w:rFonts w:ascii="Arial" w:hAnsi="Arial" w:cs="Arial"/>
          <w:sz w:val="22"/>
        </w:rPr>
        <w:t>Б</w:t>
      </w:r>
      <w:r w:rsidRPr="005A77A9">
        <w:rPr>
          <w:rFonts w:ascii="Arial" w:hAnsi="Arial" w:cs="Arial"/>
          <w:sz w:val="22"/>
          <w:lang w:val="sr-Cyrl-CS"/>
        </w:rPr>
        <w:t xml:space="preserve"> је значајан, нарочито на простору РЈ Власеница. </w:t>
      </w:r>
      <w:r w:rsidRPr="000F3E88">
        <w:rPr>
          <w:rFonts w:ascii="Arial" w:hAnsi="Arial" w:cs="Arial"/>
          <w:bCs/>
          <w:sz w:val="22"/>
          <w:szCs w:val="22"/>
          <w:lang w:val="ru-RU"/>
        </w:rPr>
        <w:t xml:space="preserve">Од 2017. </w:t>
      </w:r>
      <w:r>
        <w:rPr>
          <w:rFonts w:ascii="Arial" w:hAnsi="Arial" w:cs="Arial"/>
          <w:bCs/>
          <w:sz w:val="22"/>
          <w:szCs w:val="22"/>
          <w:lang w:val="ru-RU"/>
        </w:rPr>
        <w:t>г</w:t>
      </w:r>
      <w:r w:rsidRPr="000F3E88">
        <w:rPr>
          <w:rFonts w:ascii="Arial" w:hAnsi="Arial" w:cs="Arial"/>
          <w:bCs/>
          <w:sz w:val="22"/>
          <w:szCs w:val="22"/>
          <w:lang w:val="ru-RU"/>
        </w:rPr>
        <w:t xml:space="preserve">одине у ЕЕБ ЗЕДП ''Електро-Бијељина'' а.д. Бијељина планира се производња </w:t>
      </w:r>
      <w:r>
        <w:rPr>
          <w:rFonts w:ascii="Arial" w:hAnsi="Arial" w:cs="Arial"/>
          <w:bCs/>
          <w:sz w:val="22"/>
          <w:szCs w:val="22"/>
          <w:lang w:val="ru-RU"/>
        </w:rPr>
        <w:t xml:space="preserve">двије </w:t>
      </w:r>
      <w:r w:rsidRPr="000F3E88">
        <w:rPr>
          <w:rFonts w:ascii="Arial" w:hAnsi="Arial" w:cs="Arial"/>
          <w:bCs/>
          <w:sz w:val="22"/>
          <w:szCs w:val="22"/>
          <w:lang w:val="ru-RU"/>
        </w:rPr>
        <w:t xml:space="preserve">приватне мини хидроелектране ''Јована'' која се налази на подручју Општине Милићи, чија је снага 950 </w:t>
      </w:r>
      <w:r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 xml:space="preserve">W </w:t>
      </w:r>
      <w:r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и мини хидроелектрана „Штедрић“, чија је снага 850 </w:t>
      </w:r>
      <w:r>
        <w:rPr>
          <w:rFonts w:ascii="Arial" w:hAnsi="Arial" w:cs="Arial"/>
          <w:bCs/>
          <w:color w:val="000000"/>
          <w:sz w:val="22"/>
          <w:szCs w:val="22"/>
          <w:lang w:val="sr-Latn-CS" w:eastAsia="sr-Latn-BA"/>
        </w:rPr>
        <w:t xml:space="preserve">kW, </w:t>
      </w:r>
      <w:r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>те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производња двије соларне електране са подручја Општине Бијељина, снаге 180 </w:t>
      </w:r>
      <w:r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и 10 </w:t>
      </w:r>
      <w:r w:rsidRPr="000F3E88">
        <w:rPr>
          <w:rFonts w:ascii="Arial" w:hAnsi="Arial" w:cs="Arial"/>
          <w:bCs/>
          <w:sz w:val="22"/>
          <w:szCs w:val="22"/>
          <w:lang w:val="sr-Latn-BA"/>
        </w:rPr>
        <w:t>k</w:t>
      </w:r>
      <w:r w:rsidRPr="000F3E88"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W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  <w:lang w:val="sr-Cyrl-CS" w:eastAsia="sr-Latn-BA"/>
        </w:rPr>
        <w:t xml:space="preserve">Такође, планирана је производња у МХЕ Испод Кушлата и МХЕ Медош. 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Укупна производња МХЕ у 201</w:t>
      </w:r>
      <w:r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8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. </w:t>
      </w:r>
      <w:r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>г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одини износи </w:t>
      </w:r>
      <w:r>
        <w:rPr>
          <w:rFonts w:ascii="Arial" w:hAnsi="Arial" w:cs="Arial"/>
          <w:bCs/>
          <w:color w:val="000000"/>
          <w:sz w:val="22"/>
          <w:szCs w:val="22"/>
          <w:lang w:val="sr-Latn-BA" w:eastAsia="sr-Latn-BA"/>
        </w:rPr>
        <w:t>26,95</w:t>
      </w:r>
      <w:r w:rsidRPr="000F3E88">
        <w:rPr>
          <w:rFonts w:ascii="Arial" w:hAnsi="Arial" w:cs="Arial"/>
          <w:bCs/>
          <w:color w:val="000000"/>
          <w:sz w:val="22"/>
          <w:szCs w:val="22"/>
          <w:lang w:val="sr-Cyrl-BA" w:eastAsia="sr-Latn-BA"/>
        </w:rPr>
        <w:t xml:space="preserve"> </w:t>
      </w:r>
      <w:r w:rsidRPr="000F3E88">
        <w:rPr>
          <w:rFonts w:ascii="Arial" w:hAnsi="Arial" w:cs="Arial"/>
          <w:sz w:val="22"/>
          <w:lang w:val="sr-Latn-CS"/>
        </w:rPr>
        <w:t>GWh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AE5CFF" w:rsidRDefault="005A77A9" w:rsidP="007E09D5">
      <w:pPr>
        <w:pStyle w:val="ListParagraph"/>
        <w:numPr>
          <w:ilvl w:val="0"/>
          <w:numId w:val="30"/>
        </w:numPr>
        <w:jc w:val="both"/>
        <w:rPr>
          <w:lang w:val="sr-Cyrl-BA"/>
        </w:rPr>
      </w:pPr>
      <w:r w:rsidRPr="00AE5CFF">
        <w:rPr>
          <w:rFonts w:ascii="Arial" w:hAnsi="Arial" w:cs="Arial"/>
          <w:b/>
          <w:sz w:val="22"/>
        </w:rPr>
        <w:t>Приход од продаје услуга</w:t>
      </w:r>
      <w:r w:rsidRPr="00AE5CFF">
        <w:rPr>
          <w:rFonts w:ascii="Arial" w:hAnsi="Arial" w:cs="Arial"/>
          <w:b/>
          <w:sz w:val="18"/>
          <w:lang w:val="sr-Cyrl-CS"/>
        </w:rPr>
        <w:t xml:space="preserve"> </w:t>
      </w:r>
      <w:r w:rsidRPr="00AE5CFF">
        <w:rPr>
          <w:rFonts w:ascii="Arial" w:hAnsi="Arial" w:cs="Arial"/>
          <w:sz w:val="22"/>
          <w:lang w:val="sr-Cyrl-CS"/>
        </w:rPr>
        <w:t xml:space="preserve">планирани су у износу од </w:t>
      </w:r>
      <w:r w:rsidR="00883C28" w:rsidRPr="00AE5CFF">
        <w:rPr>
          <w:rFonts w:ascii="Arial" w:hAnsi="Arial" w:cs="Arial"/>
          <w:sz w:val="22"/>
          <w:lang w:val="sr-Latn-RS"/>
        </w:rPr>
        <w:t>1</w:t>
      </w:r>
      <w:r w:rsidR="00A85E95" w:rsidRPr="00AE5CFF">
        <w:rPr>
          <w:rFonts w:ascii="Arial" w:hAnsi="Arial" w:cs="Arial"/>
          <w:sz w:val="22"/>
          <w:lang w:val="sr-Latn-RS"/>
        </w:rPr>
        <w:t>,</w:t>
      </w:r>
      <w:r w:rsidR="00AE5CFF" w:rsidRPr="00AE5CFF">
        <w:rPr>
          <w:rFonts w:ascii="Arial" w:hAnsi="Arial" w:cs="Arial"/>
          <w:sz w:val="22"/>
        </w:rPr>
        <w:t>718</w:t>
      </w:r>
      <w:r w:rsidR="00FA0845" w:rsidRPr="00AE5CFF">
        <w:rPr>
          <w:rFonts w:ascii="Arial" w:hAnsi="Arial" w:cs="Arial"/>
          <w:sz w:val="22"/>
          <w:lang w:val="sr-Latn-RS"/>
        </w:rPr>
        <w:t xml:space="preserve"> </w:t>
      </w:r>
      <w:r w:rsidRPr="00AE5CFF">
        <w:rPr>
          <w:rFonts w:ascii="Arial" w:hAnsi="Arial" w:cs="Arial"/>
          <w:sz w:val="22"/>
          <w:lang w:val="sr-Cyrl-CS"/>
        </w:rPr>
        <w:t xml:space="preserve">мил. КМ. </w:t>
      </w:r>
      <w:r w:rsidRPr="00AE5CFF">
        <w:rPr>
          <w:rFonts w:ascii="Arial" w:hAnsi="Arial" w:cs="Arial"/>
          <w:sz w:val="22"/>
        </w:rPr>
        <w:t xml:space="preserve">Налазе се на позицији - Приход од продаје </w:t>
      </w:r>
      <w:r w:rsidRPr="00AE5CFF">
        <w:rPr>
          <w:rFonts w:ascii="Arial" w:hAnsi="Arial" w:cs="Arial"/>
          <w:sz w:val="22"/>
          <w:lang w:val="sr-Cyrl-RS"/>
        </w:rPr>
        <w:t>учинака на домаћем тржишту</w:t>
      </w:r>
      <w:r w:rsidR="00883C28" w:rsidRPr="00AE5CFF">
        <w:rPr>
          <w:lang w:val="sr-Cyrl-RS"/>
        </w:rPr>
        <w:t>.</w:t>
      </w:r>
    </w:p>
    <w:p w:rsidR="005A77A9" w:rsidRPr="00C161F7" w:rsidRDefault="005A77A9" w:rsidP="005A77A9">
      <w:pPr>
        <w:rPr>
          <w:rFonts w:ascii="Arial" w:hAnsi="Arial" w:cs="Arial"/>
          <w:highlight w:val="yellow"/>
          <w:lang w:val="sr-Cyrl-BA"/>
        </w:rPr>
      </w:pPr>
    </w:p>
    <w:p w:rsidR="005A77A9" w:rsidRPr="00AE5CFF" w:rsidRDefault="005A77A9" w:rsidP="0046227E">
      <w:pPr>
        <w:numPr>
          <w:ilvl w:val="0"/>
          <w:numId w:val="5"/>
        </w:numPr>
        <w:jc w:val="both"/>
        <w:rPr>
          <w:rFonts w:ascii="Arial" w:hAnsi="Arial" w:cs="Arial"/>
          <w:sz w:val="22"/>
          <w:lang w:val="sr-Cyrl-CS"/>
        </w:rPr>
      </w:pPr>
      <w:r w:rsidRPr="00AE5CFF">
        <w:rPr>
          <w:rFonts w:ascii="Arial" w:hAnsi="Arial" w:cs="Arial"/>
          <w:b/>
          <w:bCs/>
          <w:sz w:val="22"/>
          <w:lang w:val="sr-Cyrl-CS"/>
        </w:rPr>
        <w:lastRenderedPageBreak/>
        <w:t xml:space="preserve">Приход од активирања </w:t>
      </w:r>
      <w:r w:rsidRPr="00AE5CFF">
        <w:rPr>
          <w:rFonts w:ascii="Arial" w:hAnsi="Arial" w:cs="Arial"/>
          <w:b/>
          <w:bCs/>
          <w:sz w:val="22"/>
        </w:rPr>
        <w:t>робе и учинака</w:t>
      </w:r>
      <w:r w:rsidRPr="00AE5CFF">
        <w:rPr>
          <w:rFonts w:ascii="Arial" w:hAnsi="Arial" w:cs="Arial"/>
          <w:sz w:val="22"/>
          <w:lang w:val="sr-Cyrl-CS"/>
        </w:rPr>
        <w:t xml:space="preserve"> чији се износ у наредном периоду процјењују на </w:t>
      </w:r>
      <w:r w:rsidR="00AE5CFF" w:rsidRPr="00AE5CFF">
        <w:rPr>
          <w:rFonts w:ascii="Arial" w:hAnsi="Arial" w:cs="Arial"/>
          <w:sz w:val="22"/>
        </w:rPr>
        <w:t>420</w:t>
      </w:r>
      <w:r w:rsidR="000312E7" w:rsidRPr="00AE5CFF">
        <w:rPr>
          <w:rFonts w:ascii="Arial" w:hAnsi="Arial" w:cs="Arial"/>
          <w:sz w:val="22"/>
          <w:lang w:val="sr-Cyrl-CS"/>
        </w:rPr>
        <w:t>.</w:t>
      </w:r>
      <w:r w:rsidR="00221045">
        <w:rPr>
          <w:rFonts w:ascii="Arial" w:hAnsi="Arial" w:cs="Arial"/>
          <w:sz w:val="22"/>
        </w:rPr>
        <w:t>0</w:t>
      </w:r>
      <w:r w:rsidR="00AE5CFF" w:rsidRPr="00AE5CFF">
        <w:rPr>
          <w:rFonts w:ascii="Arial" w:hAnsi="Arial" w:cs="Arial"/>
          <w:sz w:val="22"/>
        </w:rPr>
        <w:t>00</w:t>
      </w:r>
      <w:r w:rsidR="000312E7" w:rsidRPr="00AE5CFF">
        <w:rPr>
          <w:rFonts w:ascii="Arial" w:hAnsi="Arial" w:cs="Arial"/>
          <w:sz w:val="22"/>
          <w:lang w:val="sr-Cyrl-CS"/>
        </w:rPr>
        <w:t xml:space="preserve">,00 </w:t>
      </w:r>
      <w:r w:rsidRPr="00AE5CFF">
        <w:rPr>
          <w:rFonts w:ascii="Arial" w:hAnsi="Arial" w:cs="Arial"/>
          <w:sz w:val="22"/>
          <w:lang w:val="sr-Cyrl-CS"/>
        </w:rPr>
        <w:t xml:space="preserve">КМ односи се на ангажована сопствена средства у инвестиционој изградњи. 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</w:rPr>
      </w:pPr>
    </w:p>
    <w:p w:rsidR="005A77A9" w:rsidRPr="00EA2B13" w:rsidRDefault="005A77A9" w:rsidP="0046227E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lang w:val="sr-Cyrl-CS"/>
        </w:rPr>
      </w:pPr>
      <w:r w:rsidRPr="00EA2B13">
        <w:rPr>
          <w:rFonts w:ascii="Arial" w:hAnsi="Arial" w:cs="Arial"/>
          <w:b/>
          <w:bCs/>
          <w:sz w:val="22"/>
          <w:lang w:val="sr-Cyrl-RS"/>
        </w:rPr>
        <w:t xml:space="preserve">Остали пословни приходи </w:t>
      </w:r>
      <w:r w:rsidRPr="00EA2B13">
        <w:rPr>
          <w:rFonts w:ascii="Arial" w:hAnsi="Arial" w:cs="Arial"/>
          <w:bCs/>
          <w:sz w:val="22"/>
          <w:lang w:val="sr-Cyrl-RS"/>
        </w:rPr>
        <w:t xml:space="preserve">планирани су у износу од </w:t>
      </w:r>
      <w:r w:rsidR="00AE5CFF" w:rsidRPr="00EA2B13">
        <w:rPr>
          <w:rFonts w:ascii="Arial" w:hAnsi="Arial" w:cs="Arial"/>
          <w:bCs/>
          <w:sz w:val="22"/>
        </w:rPr>
        <w:t>1</w:t>
      </w:r>
      <w:r w:rsidR="00FA0845" w:rsidRPr="00EA2B13">
        <w:rPr>
          <w:rFonts w:ascii="Arial" w:hAnsi="Arial" w:cs="Arial"/>
          <w:bCs/>
          <w:sz w:val="22"/>
          <w:lang w:val="sr-Latn-RS"/>
        </w:rPr>
        <w:t>,</w:t>
      </w:r>
      <w:r w:rsidR="00AE5CFF" w:rsidRPr="00EA2B13">
        <w:rPr>
          <w:rFonts w:ascii="Arial" w:hAnsi="Arial" w:cs="Arial"/>
          <w:bCs/>
          <w:sz w:val="22"/>
          <w:lang w:val="sr-Latn-RS"/>
        </w:rPr>
        <w:t>6</w:t>
      </w:r>
      <w:r w:rsidR="00883C28" w:rsidRPr="00EA2B13">
        <w:rPr>
          <w:rFonts w:ascii="Arial" w:hAnsi="Arial" w:cs="Arial"/>
          <w:bCs/>
          <w:sz w:val="22"/>
          <w:lang w:val="sr-Cyrl-BA"/>
        </w:rPr>
        <w:t>0</w:t>
      </w:r>
      <w:r w:rsidR="00FA0845" w:rsidRPr="00EA2B13">
        <w:rPr>
          <w:rFonts w:ascii="Arial" w:hAnsi="Arial" w:cs="Arial"/>
          <w:bCs/>
          <w:sz w:val="22"/>
          <w:lang w:val="sr-Latn-RS"/>
        </w:rPr>
        <w:t xml:space="preserve"> </w:t>
      </w:r>
      <w:r w:rsidRPr="00EA2B13">
        <w:rPr>
          <w:rFonts w:ascii="Arial" w:hAnsi="Arial" w:cs="Arial"/>
          <w:bCs/>
          <w:sz w:val="22"/>
          <w:lang w:val="sr-Cyrl-RS"/>
        </w:rPr>
        <w:t xml:space="preserve">мил. КМ и на тој позицији налазе се приходи од </w:t>
      </w:r>
      <w:r w:rsidR="00AB0E27" w:rsidRPr="00EA2B13">
        <w:rPr>
          <w:rFonts w:ascii="Arial" w:hAnsi="Arial" w:cs="Arial"/>
          <w:bCs/>
          <w:sz w:val="22"/>
          <w:lang w:val="sr-Cyrl-RS"/>
        </w:rPr>
        <w:t xml:space="preserve">примљених средстава без накнаде од других правних лица, тачније прикључци изграђени у ранијим периодима који су се до сада налазили у власништву потрошача. </w:t>
      </w:r>
    </w:p>
    <w:p w:rsidR="005A77A9" w:rsidRPr="00C161F7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highlight w:val="yellow"/>
          <w:lang w:val="sr-Cyrl-RS"/>
        </w:rPr>
      </w:pPr>
    </w:p>
    <w:p w:rsidR="005A77A9" w:rsidRPr="007F5645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7F5645">
        <w:rPr>
          <w:rFonts w:ascii="Arial" w:hAnsi="Arial" w:cs="Arial"/>
          <w:b/>
          <w:sz w:val="22"/>
          <w:lang w:val="sr-Cyrl-CS"/>
        </w:rPr>
        <w:t>ФИНАНСИЈСКИ ПРИХОД</w:t>
      </w:r>
    </w:p>
    <w:p w:rsidR="005A77A9" w:rsidRPr="007F5645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7F5645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7F5645">
        <w:rPr>
          <w:rFonts w:ascii="Arial" w:hAnsi="Arial" w:cs="Arial"/>
          <w:sz w:val="22"/>
          <w:lang w:val="sr-Cyrl-CS"/>
        </w:rPr>
        <w:t xml:space="preserve">Планирани су према </w:t>
      </w:r>
      <w:r w:rsidR="000312E7" w:rsidRPr="007F5645">
        <w:rPr>
          <w:rFonts w:ascii="Arial" w:hAnsi="Arial" w:cs="Arial"/>
          <w:sz w:val="22"/>
          <w:lang w:val="sr-Cyrl-CS"/>
        </w:rPr>
        <w:t xml:space="preserve">Ребалансу плана </w:t>
      </w:r>
      <w:r w:rsidRPr="007F5645">
        <w:rPr>
          <w:rFonts w:ascii="Arial" w:hAnsi="Arial" w:cs="Arial"/>
          <w:sz w:val="22"/>
          <w:lang w:val="sr-Cyrl-CS"/>
        </w:rPr>
        <w:t xml:space="preserve">у износу од </w:t>
      </w:r>
      <w:r w:rsidR="007F5645" w:rsidRPr="007F5645">
        <w:rPr>
          <w:rFonts w:ascii="Arial" w:hAnsi="Arial" w:cs="Arial"/>
          <w:sz w:val="22"/>
        </w:rPr>
        <w:t>2,715</w:t>
      </w:r>
      <w:r w:rsidR="00CD48A5" w:rsidRPr="007F5645">
        <w:rPr>
          <w:rFonts w:ascii="Arial" w:hAnsi="Arial" w:cs="Arial"/>
          <w:sz w:val="22"/>
          <w:lang w:val="sr-Cyrl-CS"/>
        </w:rPr>
        <w:t xml:space="preserve"> </w:t>
      </w:r>
      <w:r w:rsidRPr="007F5645">
        <w:rPr>
          <w:rFonts w:ascii="Arial" w:hAnsi="Arial" w:cs="Arial"/>
          <w:sz w:val="22"/>
          <w:lang w:val="sr-Cyrl-CS"/>
        </w:rPr>
        <w:t>мил. КМ</w:t>
      </w:r>
      <w:r w:rsidR="00883C28" w:rsidRPr="007F5645">
        <w:rPr>
          <w:rFonts w:ascii="Arial" w:hAnsi="Arial" w:cs="Arial"/>
          <w:sz w:val="22"/>
          <w:lang w:val="sr-Cyrl-CS"/>
        </w:rPr>
        <w:t>.</w:t>
      </w:r>
      <w:r w:rsidRPr="007F5645">
        <w:rPr>
          <w:rFonts w:ascii="Arial" w:hAnsi="Arial" w:cs="Arial"/>
          <w:sz w:val="22"/>
          <w:lang w:val="sr-Cyrl-CS"/>
        </w:rPr>
        <w:t xml:space="preserve"> Планирани приход потиче од затезних камата по основу неблаговременог плаћања електричне енергије. </w:t>
      </w:r>
    </w:p>
    <w:p w:rsidR="005A77A9" w:rsidRPr="007F5645" w:rsidRDefault="005A77A9" w:rsidP="004B2428">
      <w:pPr>
        <w:keepNext/>
        <w:jc w:val="both"/>
        <w:outlineLvl w:val="8"/>
        <w:rPr>
          <w:rFonts w:ascii="Arial" w:hAnsi="Arial" w:cs="Arial"/>
          <w:b/>
          <w:sz w:val="22"/>
          <w:lang w:val="sr-Cyrl-CS"/>
        </w:rPr>
      </w:pPr>
    </w:p>
    <w:p w:rsidR="005A77A9" w:rsidRPr="007F5645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lang w:val="sr-Cyrl-CS"/>
        </w:rPr>
      </w:pPr>
      <w:r w:rsidRPr="007F5645">
        <w:rPr>
          <w:rFonts w:ascii="Arial" w:hAnsi="Arial" w:cs="Arial"/>
          <w:b/>
          <w:sz w:val="22"/>
          <w:lang w:val="sr-Cyrl-CS"/>
        </w:rPr>
        <w:t>ОСТАЛИ ПРИХОД</w:t>
      </w:r>
    </w:p>
    <w:p w:rsidR="005A77A9" w:rsidRPr="007F5645" w:rsidRDefault="005A77A9" w:rsidP="005A77A9">
      <w:pPr>
        <w:ind w:left="360"/>
        <w:jc w:val="both"/>
        <w:rPr>
          <w:rFonts w:ascii="Arial" w:hAnsi="Arial" w:cs="Arial"/>
          <w:sz w:val="22"/>
          <w:lang w:val="sr-Cyrl-CS"/>
        </w:rPr>
      </w:pPr>
    </w:p>
    <w:p w:rsidR="005A77A9" w:rsidRPr="007F5645" w:rsidRDefault="00883C28" w:rsidP="005A77A9">
      <w:pPr>
        <w:jc w:val="both"/>
        <w:rPr>
          <w:rFonts w:ascii="Arial" w:hAnsi="Arial" w:cs="Arial"/>
          <w:sz w:val="22"/>
          <w:lang w:val="sr-Cyrl-CS"/>
        </w:rPr>
      </w:pPr>
      <w:r w:rsidRPr="007F5645">
        <w:rPr>
          <w:rFonts w:ascii="Arial" w:hAnsi="Arial" w:cs="Arial"/>
          <w:sz w:val="22"/>
          <w:lang w:val="sr-Cyrl-CS"/>
        </w:rPr>
        <w:t>У структури осталог прихода</w:t>
      </w:r>
      <w:r w:rsidR="005A77A9" w:rsidRPr="007F5645">
        <w:rPr>
          <w:rFonts w:ascii="Arial" w:hAnsi="Arial" w:cs="Arial"/>
          <w:sz w:val="22"/>
          <w:lang w:val="sr-Cyrl-CS"/>
        </w:rPr>
        <w:t xml:space="preserve"> планирана је наплата око </w:t>
      </w:r>
      <w:r w:rsidR="007F5645" w:rsidRPr="007F5645">
        <w:rPr>
          <w:rFonts w:ascii="Arial" w:hAnsi="Arial" w:cs="Arial"/>
          <w:sz w:val="22"/>
        </w:rPr>
        <w:t>1.000.000</w:t>
      </w:r>
      <w:r w:rsidR="005A77A9" w:rsidRPr="007F5645">
        <w:rPr>
          <w:rFonts w:ascii="Arial" w:hAnsi="Arial" w:cs="Arial"/>
          <w:sz w:val="22"/>
          <w:lang w:val="sr-Cyrl-CS"/>
        </w:rPr>
        <w:t xml:space="preserve"> КМ потраживања на којима </w:t>
      </w:r>
      <w:r w:rsidRPr="007F5645">
        <w:rPr>
          <w:rFonts w:ascii="Arial" w:hAnsi="Arial" w:cs="Arial"/>
          <w:sz w:val="22"/>
          <w:lang w:val="sr-Cyrl-CS"/>
        </w:rPr>
        <w:t>је извршена</w:t>
      </w:r>
      <w:r w:rsidR="005A77A9" w:rsidRPr="007F5645">
        <w:rPr>
          <w:rFonts w:ascii="Arial" w:hAnsi="Arial" w:cs="Arial"/>
          <w:sz w:val="22"/>
          <w:lang w:val="sr-Cyrl-CS"/>
        </w:rPr>
        <w:t xml:space="preserve"> исправка на дан 31.12.201</w:t>
      </w:r>
      <w:r w:rsidR="007F5645" w:rsidRPr="007F5645">
        <w:rPr>
          <w:rFonts w:ascii="Arial" w:hAnsi="Arial" w:cs="Arial"/>
          <w:sz w:val="22"/>
        </w:rPr>
        <w:t>7</w:t>
      </w:r>
      <w:r w:rsidR="005A77A9" w:rsidRPr="007F5645">
        <w:rPr>
          <w:rFonts w:ascii="Arial" w:hAnsi="Arial" w:cs="Arial"/>
          <w:sz w:val="22"/>
          <w:lang w:val="sr-Cyrl-CS"/>
        </w:rPr>
        <w:t>. године.</w:t>
      </w:r>
    </w:p>
    <w:p w:rsidR="005A77A9" w:rsidRPr="007F5645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7F5645" w:rsidRDefault="005A77A9" w:rsidP="005A77A9">
      <w:pPr>
        <w:jc w:val="both"/>
        <w:rPr>
          <w:rFonts w:ascii="Arial" w:hAnsi="Arial" w:cs="Arial"/>
          <w:bCs/>
          <w:sz w:val="22"/>
          <w:lang w:val="sr-Cyrl-BA"/>
        </w:rPr>
      </w:pPr>
      <w:r w:rsidRPr="007F5645">
        <w:rPr>
          <w:rFonts w:ascii="Arial" w:hAnsi="Arial" w:cs="Arial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578896" wp14:editId="3D1FD5BB">
                <wp:simplePos x="0" y="0"/>
                <wp:positionH relativeFrom="column">
                  <wp:posOffset>2514600</wp:posOffset>
                </wp:positionH>
                <wp:positionV relativeFrom="paragraph">
                  <wp:posOffset>608965</wp:posOffset>
                </wp:positionV>
                <wp:extent cx="342900" cy="342900"/>
                <wp:effectExtent l="0" t="0" r="254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9C6" w:rsidRDefault="00B129C6" w:rsidP="005A77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98pt;margin-top:47.95pt;width:2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VPDtAIAAME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" filled="f" stroked="f">
                <v:textbox>
                  <w:txbxContent>
                    <w:p w:rsidR="00B129C6" w:rsidRDefault="00B129C6" w:rsidP="005A77A9"/>
                  </w:txbxContent>
                </v:textbox>
              </v:shape>
            </w:pict>
          </mc:Fallback>
        </mc:AlternateContent>
      </w:r>
      <w:r w:rsidRPr="007F5645">
        <w:rPr>
          <w:rFonts w:ascii="Arial" w:hAnsi="Arial" w:cs="Arial"/>
          <w:bCs/>
          <w:sz w:val="22"/>
        </w:rPr>
        <w:t>Структура укупн</w:t>
      </w:r>
      <w:r w:rsidRPr="007F5645">
        <w:rPr>
          <w:rFonts w:ascii="Arial" w:hAnsi="Arial" w:cs="Arial"/>
          <w:bCs/>
          <w:sz w:val="22"/>
          <w:lang w:val="sr-Cyrl-RS"/>
        </w:rPr>
        <w:t>о планираних</w:t>
      </w:r>
      <w:r w:rsidRPr="007F5645">
        <w:rPr>
          <w:rFonts w:ascii="Arial" w:hAnsi="Arial" w:cs="Arial"/>
          <w:bCs/>
          <w:sz w:val="22"/>
        </w:rPr>
        <w:t xml:space="preserve"> прихода </w:t>
      </w:r>
      <w:r w:rsidR="000312E7" w:rsidRPr="007F5645">
        <w:rPr>
          <w:rFonts w:ascii="Arial" w:hAnsi="Arial" w:cs="Arial"/>
          <w:bCs/>
          <w:sz w:val="22"/>
          <w:lang w:val="sr-Cyrl-CS"/>
        </w:rPr>
        <w:t xml:space="preserve">према Ребалансу </w:t>
      </w:r>
      <w:r w:rsidRPr="007F5645">
        <w:rPr>
          <w:rFonts w:ascii="Arial" w:hAnsi="Arial" w:cs="Arial"/>
          <w:bCs/>
          <w:sz w:val="22"/>
        </w:rPr>
        <w:t>за 201</w:t>
      </w:r>
      <w:r w:rsidR="007F5645" w:rsidRPr="007F5645">
        <w:rPr>
          <w:rFonts w:ascii="Arial" w:hAnsi="Arial" w:cs="Arial"/>
          <w:bCs/>
          <w:sz w:val="22"/>
        </w:rPr>
        <w:t>8</w:t>
      </w:r>
      <w:r w:rsidRPr="007F5645">
        <w:rPr>
          <w:rFonts w:ascii="Arial" w:hAnsi="Arial" w:cs="Arial"/>
          <w:bCs/>
          <w:sz w:val="22"/>
        </w:rPr>
        <w:t xml:space="preserve">. </w:t>
      </w:r>
      <w:r w:rsidR="00883C28" w:rsidRPr="007F5645">
        <w:rPr>
          <w:rFonts w:ascii="Arial" w:hAnsi="Arial" w:cs="Arial"/>
          <w:bCs/>
          <w:sz w:val="22"/>
        </w:rPr>
        <w:t>г</w:t>
      </w:r>
      <w:r w:rsidRPr="007F5645">
        <w:rPr>
          <w:rFonts w:ascii="Arial" w:hAnsi="Arial" w:cs="Arial"/>
          <w:bCs/>
          <w:sz w:val="22"/>
        </w:rPr>
        <w:t>одину</w:t>
      </w:r>
      <w:r w:rsidR="00883C28" w:rsidRPr="007F5645">
        <w:rPr>
          <w:rFonts w:ascii="Arial" w:hAnsi="Arial" w:cs="Arial"/>
          <w:bCs/>
          <w:sz w:val="22"/>
          <w:lang w:val="sr-Cyrl-BA"/>
        </w:rPr>
        <w:t xml:space="preserve"> била би следећа:</w:t>
      </w:r>
    </w:p>
    <w:p w:rsidR="005A77A9" w:rsidRPr="00C161F7" w:rsidRDefault="005A77A9" w:rsidP="005A77A9">
      <w:pPr>
        <w:jc w:val="both"/>
        <w:rPr>
          <w:rFonts w:ascii="Arial" w:hAnsi="Arial" w:cs="Arial"/>
          <w:b/>
          <w:sz w:val="22"/>
          <w:szCs w:val="28"/>
          <w:highlight w:val="yellow"/>
        </w:rPr>
      </w:pP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tbl>
      <w:tblPr>
        <w:tblW w:w="9814" w:type="dxa"/>
        <w:tblLook w:val="0000" w:firstRow="0" w:lastRow="0" w:firstColumn="0" w:lastColumn="0" w:noHBand="0" w:noVBand="0"/>
      </w:tblPr>
      <w:tblGrid>
        <w:gridCol w:w="9814"/>
      </w:tblGrid>
      <w:tr w:rsidR="005A77A9" w:rsidRPr="0097288E" w:rsidTr="0097288E">
        <w:trPr>
          <w:trHeight w:val="333"/>
        </w:trPr>
        <w:tc>
          <w:tcPr>
            <w:tcW w:w="9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>Приход од електричне енергије преузете из сис</w:t>
            </w:r>
            <w:r w:rsidR="00AA57BB" w:rsidRPr="0097288E">
              <w:rPr>
                <w:rFonts w:ascii="Arial" w:hAnsi="Arial" w:cs="Arial"/>
                <w:sz w:val="22"/>
                <w:lang w:val="sr-Cyrl-CS"/>
              </w:rPr>
              <w:t xml:space="preserve">тема  ..................... </w:t>
            </w:r>
            <w:r w:rsidR="0097288E">
              <w:rPr>
                <w:rFonts w:ascii="Arial" w:hAnsi="Arial" w:cs="Arial"/>
                <w:sz w:val="22"/>
              </w:rPr>
              <w:t xml:space="preserve"> </w:t>
            </w:r>
            <w:r w:rsidR="00AA57BB" w:rsidRPr="0097288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A66283" w:rsidRPr="0097288E">
              <w:rPr>
                <w:rFonts w:ascii="Arial" w:hAnsi="Arial" w:cs="Arial"/>
                <w:sz w:val="22"/>
              </w:rPr>
              <w:t>90</w:t>
            </w:r>
            <w:r w:rsidR="00AA57BB" w:rsidRPr="0097288E">
              <w:rPr>
                <w:rFonts w:ascii="Arial" w:hAnsi="Arial" w:cs="Arial"/>
                <w:sz w:val="22"/>
              </w:rPr>
              <w:t>.</w:t>
            </w:r>
            <w:r w:rsidR="00A66283" w:rsidRPr="0097288E">
              <w:rPr>
                <w:rFonts w:ascii="Arial" w:hAnsi="Arial" w:cs="Arial"/>
                <w:sz w:val="22"/>
              </w:rPr>
              <w:t>665.708,00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AA57BB" w:rsidRPr="0097288E">
              <w:rPr>
                <w:rFonts w:ascii="Arial" w:hAnsi="Arial" w:cs="Arial"/>
                <w:sz w:val="22"/>
              </w:rPr>
              <w:t xml:space="preserve">    </w:t>
            </w:r>
            <w:r w:rsidR="00A66283" w:rsidRPr="0097288E">
              <w:rPr>
                <w:rFonts w:ascii="Arial" w:hAnsi="Arial" w:cs="Arial"/>
                <w:sz w:val="22"/>
              </w:rPr>
              <w:t>90</w:t>
            </w:r>
            <w:r w:rsidR="00673E17" w:rsidRPr="0097288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97288E" w:rsidTr="0097288E">
        <w:trPr>
          <w:trHeight w:val="242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sz w:val="22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>Приход од продаје услуга ..........................................................</w:t>
            </w:r>
            <w:r w:rsidR="007F5645" w:rsidRPr="0097288E">
              <w:rPr>
                <w:rFonts w:ascii="Arial" w:hAnsi="Arial" w:cs="Arial"/>
                <w:sz w:val="22"/>
                <w:lang w:val="sr-Cyrl-CS"/>
              </w:rPr>
              <w:t>............</w:t>
            </w:r>
            <w:r w:rsidR="00673E17" w:rsidRPr="0097288E">
              <w:rPr>
                <w:rFonts w:ascii="Arial" w:hAnsi="Arial" w:cs="Arial"/>
                <w:sz w:val="22"/>
              </w:rPr>
              <w:t xml:space="preserve"> </w:t>
            </w:r>
            <w:r w:rsidR="0097288E">
              <w:rPr>
                <w:rFonts w:ascii="Arial" w:hAnsi="Arial" w:cs="Arial"/>
                <w:sz w:val="22"/>
              </w:rPr>
              <w:t xml:space="preserve"> </w:t>
            </w:r>
            <w:r w:rsidR="00CD48A5" w:rsidRPr="0097288E">
              <w:rPr>
                <w:rFonts w:ascii="Arial" w:hAnsi="Arial" w:cs="Arial"/>
                <w:sz w:val="22"/>
                <w:lang w:val="sr-Cyrl-CS"/>
              </w:rPr>
              <w:t>1.</w:t>
            </w:r>
            <w:r w:rsidR="00EA2B13" w:rsidRPr="0097288E">
              <w:rPr>
                <w:rFonts w:ascii="Arial" w:hAnsi="Arial" w:cs="Arial"/>
                <w:sz w:val="22"/>
              </w:rPr>
              <w:t>718.800</w:t>
            </w:r>
            <w:r w:rsidR="007F5645" w:rsidRPr="0097288E">
              <w:rPr>
                <w:rFonts w:ascii="Arial" w:hAnsi="Arial" w:cs="Arial"/>
                <w:sz w:val="22"/>
              </w:rPr>
              <w:t>,00</w:t>
            </w:r>
            <w:r w:rsidR="00EA2B13" w:rsidRPr="0097288E">
              <w:rPr>
                <w:rFonts w:ascii="Arial" w:hAnsi="Arial" w:cs="Arial"/>
                <w:sz w:val="22"/>
              </w:rPr>
              <w:t xml:space="preserve">     </w:t>
            </w:r>
            <w:r w:rsidR="007F5645" w:rsidRPr="0097288E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673E17" w:rsidRPr="0097288E">
              <w:rPr>
                <w:rFonts w:ascii="Arial" w:hAnsi="Arial" w:cs="Arial"/>
                <w:sz w:val="22"/>
              </w:rPr>
              <w:t>2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673E17" w:rsidRPr="0097288E">
              <w:rPr>
                <w:rFonts w:ascii="Arial" w:hAnsi="Arial" w:cs="Arial"/>
                <w:sz w:val="22"/>
              </w:rPr>
              <w:t>%</w:t>
            </w:r>
          </w:p>
        </w:tc>
      </w:tr>
      <w:tr w:rsidR="005A77A9" w:rsidRPr="0097288E" w:rsidTr="0097288E">
        <w:trPr>
          <w:trHeight w:val="260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>Приход од властитих учинака на реализациј</w:t>
            </w:r>
            <w:r w:rsidR="00673E17" w:rsidRPr="0097288E">
              <w:rPr>
                <w:rFonts w:ascii="Arial" w:hAnsi="Arial" w:cs="Arial"/>
                <w:sz w:val="22"/>
                <w:lang w:val="sr-Cyrl-CS"/>
              </w:rPr>
              <w:t xml:space="preserve">и инвестиција ..............  </w:t>
            </w:r>
            <w:r w:rsidRPr="0097288E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EA2B13" w:rsidRPr="0097288E">
              <w:rPr>
                <w:rFonts w:ascii="Arial" w:hAnsi="Arial" w:cs="Arial"/>
                <w:sz w:val="22"/>
              </w:rPr>
              <w:t>420.000,00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 w:rsidR="0097288E" w:rsidRPr="0097288E">
              <w:rPr>
                <w:rFonts w:ascii="Arial" w:hAnsi="Arial" w:cs="Arial"/>
                <w:sz w:val="22"/>
              </w:rPr>
              <w:t xml:space="preserve">   </w:t>
            </w:r>
            <w:r w:rsidR="0097288E" w:rsidRPr="0097288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</w:t>
            </w:r>
            <w:r w:rsidR="00673E17" w:rsidRPr="0097288E">
              <w:rPr>
                <w:rFonts w:ascii="Arial" w:hAnsi="Arial" w:cs="Arial"/>
                <w:sz w:val="22"/>
              </w:rPr>
              <w:t>0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97288E" w:rsidTr="0097288E">
        <w:trPr>
          <w:trHeight w:val="260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sz w:val="22"/>
              </w:rPr>
            </w:pPr>
            <w:r w:rsidRPr="0097288E">
              <w:rPr>
                <w:rFonts w:ascii="Arial" w:hAnsi="Arial" w:cs="Arial"/>
                <w:sz w:val="22"/>
              </w:rPr>
              <w:t>Остали</w:t>
            </w:r>
            <w:r w:rsidRPr="0097288E">
              <w:rPr>
                <w:rFonts w:ascii="Arial" w:hAnsi="Arial" w:cs="Arial"/>
                <w:sz w:val="22"/>
                <w:lang w:val="sr-Cyrl-CS"/>
              </w:rPr>
              <w:t xml:space="preserve"> пословни приход  .........................................</w:t>
            </w:r>
            <w:r w:rsidR="00673E17" w:rsidRPr="0097288E">
              <w:rPr>
                <w:rFonts w:ascii="Arial" w:hAnsi="Arial" w:cs="Arial"/>
                <w:sz w:val="22"/>
                <w:lang w:val="sr-Cyrl-CS"/>
              </w:rPr>
              <w:t>..............................</w:t>
            </w:r>
            <w:r w:rsidRPr="0097288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7F5645" w:rsidRPr="0097288E">
              <w:rPr>
                <w:rFonts w:ascii="Arial" w:hAnsi="Arial" w:cs="Arial"/>
                <w:sz w:val="22"/>
              </w:rPr>
              <w:t>1.600.000,00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  </w:t>
            </w:r>
            <w:r w:rsidR="0097288E" w:rsidRPr="0097288E">
              <w:rPr>
                <w:rFonts w:ascii="Arial" w:hAnsi="Arial" w:cs="Arial"/>
                <w:sz w:val="22"/>
              </w:rPr>
              <w:t xml:space="preserve">  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 </w:t>
            </w:r>
            <w:r w:rsidR="00673E17" w:rsidRPr="0097288E">
              <w:rPr>
                <w:rFonts w:ascii="Arial" w:hAnsi="Arial" w:cs="Arial"/>
                <w:sz w:val="22"/>
              </w:rPr>
              <w:t>2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97288E" w:rsidTr="0097288E">
        <w:trPr>
          <w:trHeight w:val="338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A539DD" w:rsidP="0097288E">
            <w:pPr>
              <w:jc w:val="both"/>
              <w:rPr>
                <w:rFonts w:ascii="Arial" w:hAnsi="Arial" w:cs="Arial"/>
                <w:sz w:val="22"/>
                <w:lang w:val="sr-Latn-RS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 xml:space="preserve">Финансијски приход </w:t>
            </w:r>
            <w:r w:rsidR="005A77A9" w:rsidRPr="0097288E">
              <w:rPr>
                <w:rFonts w:ascii="Arial" w:hAnsi="Arial" w:cs="Arial"/>
                <w:sz w:val="22"/>
                <w:lang w:val="sr-Cyrl-CS"/>
              </w:rPr>
              <w:t>................................................</w:t>
            </w:r>
            <w:r w:rsidR="00673E17" w:rsidRPr="0097288E">
              <w:rPr>
                <w:rFonts w:ascii="Arial" w:hAnsi="Arial" w:cs="Arial"/>
                <w:sz w:val="22"/>
                <w:lang w:val="sr-Cyrl-CS"/>
              </w:rPr>
              <w:t xml:space="preserve">.............................. </w:t>
            </w:r>
            <w:r w:rsidR="00673E17" w:rsidRPr="0097288E">
              <w:rPr>
                <w:rFonts w:ascii="Arial" w:hAnsi="Arial" w:cs="Arial"/>
                <w:sz w:val="22"/>
              </w:rPr>
              <w:t xml:space="preserve"> </w:t>
            </w:r>
            <w:r w:rsidR="005A77A9" w:rsidRPr="0097288E">
              <w:rPr>
                <w:rFonts w:ascii="Arial" w:hAnsi="Arial" w:cs="Arial"/>
                <w:sz w:val="22"/>
                <w:lang w:val="sr-Cyrl-CS"/>
              </w:rPr>
              <w:t xml:space="preserve">  </w:t>
            </w:r>
            <w:r w:rsidR="007F5645" w:rsidRPr="0097288E">
              <w:rPr>
                <w:rFonts w:ascii="Arial" w:hAnsi="Arial" w:cs="Arial"/>
                <w:sz w:val="22"/>
              </w:rPr>
              <w:t>2.715.884,00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    </w:t>
            </w:r>
            <w:r w:rsidR="0097288E" w:rsidRPr="0097288E">
              <w:rPr>
                <w:rFonts w:ascii="Arial" w:hAnsi="Arial" w:cs="Arial"/>
                <w:sz w:val="22"/>
              </w:rPr>
              <w:t xml:space="preserve"> 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 xml:space="preserve"> 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673E17" w:rsidRPr="0097288E">
              <w:rPr>
                <w:rFonts w:ascii="Arial" w:hAnsi="Arial" w:cs="Arial"/>
                <w:sz w:val="22"/>
              </w:rPr>
              <w:t>3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5A77A9" w:rsidRPr="0097288E" w:rsidTr="0097288E">
        <w:trPr>
          <w:trHeight w:val="260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>Остали приходи ......................................................................................</w:t>
            </w:r>
            <w:r w:rsidR="00C751C5" w:rsidRPr="0097288E">
              <w:rPr>
                <w:rFonts w:ascii="Arial" w:hAnsi="Arial" w:cs="Arial"/>
                <w:sz w:val="22"/>
                <w:lang w:val="sr-Cyrl-RS"/>
              </w:rPr>
              <w:t xml:space="preserve">  </w:t>
            </w:r>
            <w:r w:rsidR="00221045" w:rsidRPr="0097288E">
              <w:rPr>
                <w:rFonts w:ascii="Arial" w:hAnsi="Arial" w:cs="Arial"/>
                <w:sz w:val="22"/>
              </w:rPr>
              <w:t>3.091.351,00</w:t>
            </w:r>
            <w:r w:rsidR="00522824" w:rsidRPr="0097288E">
              <w:rPr>
                <w:rFonts w:ascii="Arial" w:hAnsi="Arial" w:cs="Arial"/>
                <w:sz w:val="22"/>
                <w:lang w:val="sr-Cyrl-RS"/>
              </w:rPr>
              <w:t xml:space="preserve">     </w:t>
            </w:r>
            <w:r w:rsidR="00780B71" w:rsidRPr="0097288E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="0097288E">
              <w:rPr>
                <w:rFonts w:ascii="Arial" w:hAnsi="Arial" w:cs="Arial"/>
                <w:sz w:val="22"/>
              </w:rPr>
              <w:t xml:space="preserve"> </w:t>
            </w:r>
            <w:r w:rsidR="0097288E" w:rsidRPr="0097288E">
              <w:rPr>
                <w:rFonts w:ascii="Arial" w:hAnsi="Arial" w:cs="Arial"/>
                <w:sz w:val="22"/>
              </w:rPr>
              <w:t xml:space="preserve">  </w:t>
            </w:r>
            <w:r w:rsidR="00673E17" w:rsidRPr="0097288E">
              <w:rPr>
                <w:rFonts w:ascii="Arial" w:hAnsi="Arial" w:cs="Arial"/>
                <w:sz w:val="22"/>
                <w:lang w:val="sr-Cyrl-RS"/>
              </w:rPr>
              <w:t xml:space="preserve"> </w:t>
            </w:r>
            <w:r w:rsidR="00673E17" w:rsidRPr="0097288E">
              <w:rPr>
                <w:rFonts w:ascii="Arial" w:hAnsi="Arial" w:cs="Arial"/>
                <w:sz w:val="22"/>
              </w:rPr>
              <w:t>3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9E4DBD" w:rsidRPr="0097288E">
              <w:rPr>
                <w:rFonts w:ascii="Arial" w:hAnsi="Arial" w:cs="Arial"/>
                <w:sz w:val="22"/>
                <w:lang w:val="sr-Cyrl-RS"/>
              </w:rPr>
              <w:t>%</w:t>
            </w:r>
          </w:p>
        </w:tc>
      </w:tr>
      <w:tr w:rsidR="00AB0E27" w:rsidRPr="0097288E" w:rsidTr="0097288E">
        <w:trPr>
          <w:trHeight w:val="350"/>
        </w:trPr>
        <w:tc>
          <w:tcPr>
            <w:tcW w:w="98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0E27" w:rsidRPr="0097288E" w:rsidRDefault="00AB0E27" w:rsidP="0097288E">
            <w:pPr>
              <w:jc w:val="both"/>
              <w:rPr>
                <w:rFonts w:ascii="Arial" w:hAnsi="Arial" w:cs="Arial"/>
                <w:sz w:val="22"/>
              </w:rPr>
            </w:pPr>
            <w:r w:rsidRPr="0097288E">
              <w:rPr>
                <w:rFonts w:ascii="Arial" w:hAnsi="Arial" w:cs="Arial"/>
                <w:sz w:val="22"/>
                <w:lang w:val="sr-Cyrl-CS"/>
              </w:rPr>
              <w:t xml:space="preserve">Приход од усклађивања вриједности имовине.....................................       </w:t>
            </w:r>
            <w:r w:rsidR="00673E17" w:rsidRPr="0097288E">
              <w:rPr>
                <w:rFonts w:ascii="Arial" w:hAnsi="Arial" w:cs="Arial"/>
                <w:sz w:val="22"/>
              </w:rPr>
              <w:t xml:space="preserve">    </w:t>
            </w:r>
            <w:r w:rsidR="007F5645" w:rsidRPr="0097288E">
              <w:rPr>
                <w:rFonts w:ascii="Arial" w:hAnsi="Arial" w:cs="Arial"/>
                <w:sz w:val="22"/>
              </w:rPr>
              <w:t xml:space="preserve">     0,00</w:t>
            </w:r>
            <w:r w:rsidR="00673E17" w:rsidRPr="0097288E">
              <w:rPr>
                <w:rFonts w:ascii="Arial" w:hAnsi="Arial" w:cs="Arial"/>
                <w:sz w:val="22"/>
              </w:rPr>
              <w:t xml:space="preserve">     </w:t>
            </w:r>
            <w:r w:rsidR="0097288E">
              <w:rPr>
                <w:rFonts w:ascii="Arial" w:hAnsi="Arial" w:cs="Arial"/>
                <w:sz w:val="22"/>
              </w:rPr>
              <w:t xml:space="preserve"> </w:t>
            </w:r>
            <w:r w:rsidR="0097288E" w:rsidRPr="0097288E">
              <w:rPr>
                <w:rFonts w:ascii="Arial" w:hAnsi="Arial" w:cs="Arial"/>
                <w:sz w:val="22"/>
              </w:rPr>
              <w:t xml:space="preserve">  </w:t>
            </w:r>
            <w:r w:rsidR="00673E17" w:rsidRPr="0097288E">
              <w:rPr>
                <w:rFonts w:ascii="Arial" w:hAnsi="Arial" w:cs="Arial"/>
                <w:sz w:val="22"/>
              </w:rPr>
              <w:t xml:space="preserve">  0</w:t>
            </w:r>
            <w:r w:rsidR="0097288E" w:rsidRPr="0097288E">
              <w:rPr>
                <w:rFonts w:ascii="Arial" w:hAnsi="Arial" w:cs="Arial"/>
                <w:sz w:val="22"/>
              </w:rPr>
              <w:t xml:space="preserve"> </w:t>
            </w:r>
            <w:r w:rsidR="00673E17" w:rsidRPr="0097288E">
              <w:rPr>
                <w:rFonts w:ascii="Arial" w:hAnsi="Arial" w:cs="Arial"/>
                <w:sz w:val="22"/>
              </w:rPr>
              <w:t>%</w:t>
            </w:r>
          </w:p>
        </w:tc>
      </w:tr>
      <w:tr w:rsidR="005A77A9" w:rsidRPr="00C161F7" w:rsidTr="0097288E">
        <w:trPr>
          <w:trHeight w:val="359"/>
        </w:trPr>
        <w:tc>
          <w:tcPr>
            <w:tcW w:w="9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A77A9" w:rsidRPr="0097288E" w:rsidRDefault="005A77A9" w:rsidP="0097288E">
            <w:pPr>
              <w:jc w:val="both"/>
              <w:rPr>
                <w:rFonts w:ascii="Arial" w:hAnsi="Arial" w:cs="Arial"/>
                <w:b/>
                <w:bCs/>
                <w:sz w:val="22"/>
                <w:lang w:val="sr-Cyrl-RS"/>
              </w:rPr>
            </w:pPr>
            <w:r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>УКУПАН ПРИХОД: ....................................................</w:t>
            </w:r>
            <w:r w:rsidR="00673E17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.......................... </w:t>
            </w:r>
            <w:r w:rsidR="00C751C5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 </w:t>
            </w:r>
            <w:r w:rsidR="007F5645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>10</w:t>
            </w:r>
            <w:r w:rsidR="007F5645" w:rsidRPr="0097288E">
              <w:rPr>
                <w:rFonts w:ascii="Arial" w:hAnsi="Arial" w:cs="Arial"/>
                <w:b/>
                <w:bCs/>
                <w:sz w:val="22"/>
              </w:rPr>
              <w:t>0</w:t>
            </w:r>
            <w:r w:rsidR="00522824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7F5645" w:rsidRPr="0097288E">
              <w:rPr>
                <w:rFonts w:ascii="Arial" w:hAnsi="Arial" w:cs="Arial"/>
                <w:b/>
                <w:bCs/>
                <w:sz w:val="22"/>
              </w:rPr>
              <w:t>211</w:t>
            </w:r>
            <w:r w:rsidR="00522824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>.</w:t>
            </w:r>
            <w:r w:rsidR="007F5645" w:rsidRPr="0097288E">
              <w:rPr>
                <w:rFonts w:ascii="Arial" w:hAnsi="Arial" w:cs="Arial"/>
                <w:b/>
                <w:bCs/>
                <w:sz w:val="22"/>
              </w:rPr>
              <w:t>743</w:t>
            </w:r>
            <w:r w:rsidR="00CD48A5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>,00</w:t>
            </w:r>
            <w:r w:rsidR="009E4DBD" w:rsidRPr="0097288E">
              <w:rPr>
                <w:rFonts w:ascii="Arial" w:hAnsi="Arial" w:cs="Arial"/>
                <w:b/>
                <w:bCs/>
                <w:sz w:val="22"/>
                <w:lang w:val="sr-Cyrl-CS"/>
              </w:rPr>
              <w:t xml:space="preserve">     100%</w:t>
            </w:r>
          </w:p>
        </w:tc>
      </w:tr>
    </w:tbl>
    <w:p w:rsidR="005A77A9" w:rsidRPr="00C161F7" w:rsidRDefault="005A77A9" w:rsidP="005A77A9">
      <w:pPr>
        <w:jc w:val="both"/>
        <w:rPr>
          <w:rFonts w:ascii="Arial" w:hAnsi="Arial" w:cs="Arial"/>
          <w:i/>
          <w:sz w:val="22"/>
          <w:highlight w:val="yellow"/>
          <w:lang w:val="sr-Cyrl-CS"/>
        </w:rPr>
      </w:pPr>
    </w:p>
    <w:p w:rsidR="00375B8A" w:rsidRPr="00EA5A3F" w:rsidRDefault="00375B8A" w:rsidP="00375B8A">
      <w:pPr>
        <w:pStyle w:val="Caption"/>
        <w:jc w:val="both"/>
        <w:rPr>
          <w:rFonts w:ascii="Arial" w:hAnsi="Arial" w:cs="Arial"/>
          <w:b w:val="0"/>
        </w:rPr>
      </w:pPr>
      <w:bookmarkStart w:id="43" w:name="_Toc500767363"/>
      <w:r w:rsidRPr="00EA5A3F">
        <w:rPr>
          <w:rFonts w:ascii="Arial" w:hAnsi="Arial" w:cs="Arial"/>
          <w:b w:val="0"/>
        </w:rPr>
        <w:t xml:space="preserve">Графикон  </w:t>
      </w:r>
      <w:r w:rsidRPr="00EA5A3F">
        <w:rPr>
          <w:rFonts w:ascii="Arial" w:hAnsi="Arial" w:cs="Arial"/>
          <w:b w:val="0"/>
        </w:rPr>
        <w:fldChar w:fldCharType="begin"/>
      </w:r>
      <w:r w:rsidRPr="00EA5A3F">
        <w:rPr>
          <w:rFonts w:ascii="Arial" w:hAnsi="Arial" w:cs="Arial"/>
          <w:b w:val="0"/>
        </w:rPr>
        <w:instrText xml:space="preserve"> SEQ Графикон_ \* ARABIC </w:instrText>
      </w:r>
      <w:r w:rsidRPr="00EA5A3F">
        <w:rPr>
          <w:rFonts w:ascii="Arial" w:hAnsi="Arial" w:cs="Arial"/>
          <w:b w:val="0"/>
        </w:rPr>
        <w:fldChar w:fldCharType="separate"/>
      </w:r>
      <w:r w:rsidR="00322822" w:rsidRPr="00EA5A3F">
        <w:rPr>
          <w:rFonts w:ascii="Arial" w:hAnsi="Arial" w:cs="Arial"/>
          <w:b w:val="0"/>
          <w:noProof/>
        </w:rPr>
        <w:t>2</w:t>
      </w:r>
      <w:r w:rsidRPr="00EA5A3F">
        <w:rPr>
          <w:rFonts w:ascii="Arial" w:hAnsi="Arial" w:cs="Arial"/>
          <w:b w:val="0"/>
        </w:rPr>
        <w:fldChar w:fldCharType="end"/>
      </w:r>
      <w:r w:rsidRPr="00EA5A3F">
        <w:rPr>
          <w:rFonts w:ascii="Arial" w:hAnsi="Arial" w:cs="Arial"/>
          <w:b w:val="0"/>
          <w:lang w:val="sr-Cyrl-CS"/>
        </w:rPr>
        <w:t xml:space="preserve"> Структура укупних прихода</w:t>
      </w:r>
      <w:bookmarkEnd w:id="43"/>
    </w:p>
    <w:p w:rsidR="00C969CC" w:rsidRPr="00EA5A3F" w:rsidRDefault="00C942DC" w:rsidP="00DA6E94">
      <w:pPr>
        <w:jc w:val="center"/>
        <w:rPr>
          <w:rFonts w:ascii="Arial" w:hAnsi="Arial" w:cs="Arial"/>
          <w:bCs/>
          <w:sz w:val="22"/>
          <w:szCs w:val="28"/>
        </w:rPr>
      </w:pPr>
      <w:r w:rsidRPr="00EA5A3F">
        <w:rPr>
          <w:rFonts w:ascii="Arial" w:hAnsi="Arial" w:cs="Arial"/>
          <w:noProof/>
          <w:sz w:val="22"/>
        </w:rPr>
        <w:lastRenderedPageBreak/>
        <w:drawing>
          <wp:inline distT="0" distB="0" distL="0" distR="0" wp14:anchorId="09574EB7" wp14:editId="7573658B">
            <wp:extent cx="5857875" cy="3238500"/>
            <wp:effectExtent l="0" t="0" r="9525" b="19050"/>
            <wp:docPr id="17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A77A9" w:rsidRPr="00EA5A3F">
        <w:rPr>
          <w:rFonts w:ascii="Arial" w:hAnsi="Arial" w:cs="Arial"/>
          <w:sz w:val="22"/>
          <w:lang w:val="sr-Cyrl-CS"/>
        </w:rPr>
        <w:br w:type="page"/>
      </w:r>
    </w:p>
    <w:p w:rsidR="005A77A9" w:rsidRPr="00D908F1" w:rsidRDefault="00DA6E94" w:rsidP="0046227E">
      <w:pPr>
        <w:pStyle w:val="Heading2"/>
        <w:numPr>
          <w:ilvl w:val="0"/>
          <w:numId w:val="23"/>
        </w:numPr>
        <w:jc w:val="left"/>
        <w:rPr>
          <w:rFonts w:ascii="Arial" w:hAnsi="Arial" w:cs="Arial"/>
          <w:sz w:val="22"/>
          <w:szCs w:val="22"/>
          <w:u w:val="single"/>
        </w:rPr>
      </w:pPr>
      <w:bookmarkStart w:id="44" w:name="_Toc481062260"/>
      <w:bookmarkStart w:id="45" w:name="_Toc500762423"/>
      <w:r w:rsidRPr="00D908F1">
        <w:rPr>
          <w:rFonts w:ascii="Arial" w:hAnsi="Arial" w:cs="Arial"/>
          <w:sz w:val="22"/>
          <w:szCs w:val="22"/>
          <w:u w:val="single"/>
        </w:rPr>
        <w:lastRenderedPageBreak/>
        <w:t>Ребаланс</w:t>
      </w:r>
      <w:r w:rsidR="00D908F1">
        <w:rPr>
          <w:rFonts w:ascii="Arial" w:hAnsi="Arial" w:cs="Arial"/>
          <w:sz w:val="22"/>
          <w:szCs w:val="22"/>
          <w:u w:val="single"/>
        </w:rPr>
        <w:t xml:space="preserve"> расхода за 201</w:t>
      </w:r>
      <w:r w:rsidR="00D908F1">
        <w:rPr>
          <w:rFonts w:ascii="Arial" w:hAnsi="Arial" w:cs="Arial"/>
          <w:sz w:val="22"/>
          <w:szCs w:val="22"/>
          <w:u w:val="single"/>
          <w:lang w:val="en-US"/>
        </w:rPr>
        <w:t>8</w:t>
      </w:r>
      <w:r w:rsidR="00C969CC" w:rsidRPr="00D908F1">
        <w:rPr>
          <w:rFonts w:ascii="Arial" w:hAnsi="Arial" w:cs="Arial"/>
          <w:sz w:val="22"/>
          <w:szCs w:val="22"/>
          <w:u w:val="single"/>
        </w:rPr>
        <w:t>. годину</w:t>
      </w:r>
      <w:bookmarkEnd w:id="44"/>
      <w:bookmarkEnd w:id="45"/>
    </w:p>
    <w:p w:rsidR="00C969CC" w:rsidRPr="00C161F7" w:rsidRDefault="00C969CC" w:rsidP="00C969CC">
      <w:pPr>
        <w:pStyle w:val="ListParagraph"/>
        <w:jc w:val="both"/>
        <w:rPr>
          <w:rFonts w:ascii="Arial" w:hAnsi="Arial" w:cs="Arial"/>
          <w:sz w:val="22"/>
          <w:szCs w:val="22"/>
          <w:highlight w:val="yellow"/>
          <w:u w:val="single"/>
          <w:lang w:val="sr-Cyrl-BA"/>
        </w:rPr>
      </w:pPr>
    </w:p>
    <w:p w:rsidR="00F2066C" w:rsidRDefault="00375B8A" w:rsidP="00375B8A">
      <w:pPr>
        <w:pStyle w:val="Caption"/>
        <w:rPr>
          <w:rFonts w:ascii="Arial" w:hAnsi="Arial" w:cs="Arial"/>
          <w:b w:val="0"/>
        </w:rPr>
      </w:pPr>
      <w:bookmarkStart w:id="46" w:name="_Toc500767356"/>
      <w:r w:rsidRPr="00213A9D">
        <w:rPr>
          <w:rFonts w:ascii="Arial" w:hAnsi="Arial" w:cs="Arial"/>
          <w:b w:val="0"/>
        </w:rPr>
        <w:t xml:space="preserve">Табела </w:t>
      </w:r>
      <w:r w:rsidRPr="00213A9D">
        <w:rPr>
          <w:rFonts w:ascii="Arial" w:hAnsi="Arial" w:cs="Arial"/>
          <w:b w:val="0"/>
        </w:rPr>
        <w:fldChar w:fldCharType="begin"/>
      </w:r>
      <w:r w:rsidRPr="00213A9D">
        <w:rPr>
          <w:rFonts w:ascii="Arial" w:hAnsi="Arial" w:cs="Arial"/>
          <w:b w:val="0"/>
        </w:rPr>
        <w:instrText xml:space="preserve"> SEQ Табела \* ARABIC </w:instrText>
      </w:r>
      <w:r w:rsidRPr="00213A9D">
        <w:rPr>
          <w:rFonts w:ascii="Arial" w:hAnsi="Arial" w:cs="Arial"/>
          <w:b w:val="0"/>
        </w:rPr>
        <w:fldChar w:fldCharType="separate"/>
      </w:r>
      <w:r w:rsidR="00322822" w:rsidRPr="00213A9D">
        <w:rPr>
          <w:rFonts w:ascii="Arial" w:hAnsi="Arial" w:cs="Arial"/>
          <w:b w:val="0"/>
          <w:noProof/>
        </w:rPr>
        <w:t>7</w:t>
      </w:r>
      <w:r w:rsidRPr="00213A9D">
        <w:rPr>
          <w:rFonts w:ascii="Arial" w:hAnsi="Arial" w:cs="Arial"/>
          <w:b w:val="0"/>
        </w:rPr>
        <w:fldChar w:fldCharType="end"/>
      </w:r>
      <w:r w:rsidRPr="00213A9D">
        <w:rPr>
          <w:rFonts w:ascii="Arial" w:hAnsi="Arial" w:cs="Arial"/>
          <w:b w:val="0"/>
          <w:lang w:val="sr-Cyrl-BA"/>
        </w:rPr>
        <w:t xml:space="preserve"> С</w:t>
      </w:r>
      <w:r w:rsidR="00213A9D">
        <w:rPr>
          <w:rFonts w:ascii="Arial" w:hAnsi="Arial" w:cs="Arial"/>
          <w:b w:val="0"/>
          <w:lang w:val="sr-Cyrl-BA"/>
        </w:rPr>
        <w:t>труктура укупних расхода за 201</w:t>
      </w:r>
      <w:r w:rsidR="00213A9D">
        <w:rPr>
          <w:rFonts w:ascii="Arial" w:hAnsi="Arial" w:cs="Arial"/>
          <w:b w:val="0"/>
        </w:rPr>
        <w:t>8</w:t>
      </w:r>
      <w:r w:rsidRPr="00213A9D">
        <w:rPr>
          <w:rFonts w:ascii="Arial" w:hAnsi="Arial" w:cs="Arial"/>
          <w:b w:val="0"/>
          <w:lang w:val="sr-Cyrl-BA"/>
        </w:rPr>
        <w:t xml:space="preserve">. </w:t>
      </w:r>
      <w:r w:rsidR="00213A9D">
        <w:rPr>
          <w:rFonts w:ascii="Arial" w:hAnsi="Arial" w:cs="Arial"/>
          <w:b w:val="0"/>
          <w:lang w:val="sr-Cyrl-BA"/>
        </w:rPr>
        <w:t>годину</w:t>
      </w:r>
      <w:bookmarkEnd w:id="46"/>
    </w:p>
    <w:tbl>
      <w:tblPr>
        <w:tblW w:w="10239" w:type="dxa"/>
        <w:tblInd w:w="-162" w:type="dxa"/>
        <w:tblLook w:val="04A0" w:firstRow="1" w:lastRow="0" w:firstColumn="1" w:lastColumn="0" w:noHBand="0" w:noVBand="1"/>
      </w:tblPr>
      <w:tblGrid>
        <w:gridCol w:w="4767"/>
        <w:gridCol w:w="1240"/>
        <w:gridCol w:w="1242"/>
        <w:gridCol w:w="1258"/>
        <w:gridCol w:w="866"/>
        <w:gridCol w:w="866"/>
      </w:tblGrid>
      <w:tr w:rsidR="00213A9D" w:rsidTr="00213A9D">
        <w:trPr>
          <w:trHeight w:val="345"/>
        </w:trPr>
        <w:tc>
          <w:tcPr>
            <w:tcW w:w="4767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Опис</w:t>
            </w:r>
          </w:p>
        </w:tc>
        <w:tc>
          <w:tcPr>
            <w:tcW w:w="1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Ребаланс 2018.</w:t>
            </w:r>
          </w:p>
        </w:tc>
        <w:tc>
          <w:tcPr>
            <w:tcW w:w="124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План              2018.</w:t>
            </w:r>
          </w:p>
        </w:tc>
        <w:tc>
          <w:tcPr>
            <w:tcW w:w="1258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Остварено 2017.</w:t>
            </w:r>
          </w:p>
        </w:tc>
        <w:tc>
          <w:tcPr>
            <w:tcW w:w="86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Индекс  2/3</w:t>
            </w:r>
          </w:p>
        </w:tc>
        <w:tc>
          <w:tcPr>
            <w:tcW w:w="86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Индекс  2/4 </w:t>
            </w:r>
          </w:p>
        </w:tc>
      </w:tr>
      <w:tr w:rsidR="00213A9D" w:rsidTr="00213A9D">
        <w:trPr>
          <w:trHeight w:val="244"/>
        </w:trPr>
        <w:tc>
          <w:tcPr>
            <w:tcW w:w="4767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  ПОСЛОВНИ РАСХОДИ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97.900.584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94.554.738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99.569.737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98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Набавна вриј. продате робе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56.089.743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53.082.738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57.574.598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Трошкови материјала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2.110.000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2.290.000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2.247.439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Трош.зарада, накнада зарада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23.420.004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22.200.000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23.825.849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и осталих личних расходa (а+б)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а) Трош. бруто зарада и бруто накн. зарада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21.357.559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20.675.791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20.654.164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б) Остали лични расходи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2.062.445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1.524.209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3.171.685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Трошкови производ. услуга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1.600.000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1.520.000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1.596.320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Трош. амортизације и резервисања (а+б)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12.496.019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13.460.000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12.620.750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а) Трошкови амортизације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12.446.019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12.560.000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12.570.561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б) Трошкови резервисања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50.189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Нематеријални трошкови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1.500.000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1.605.000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1.248.042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(без пореза и доприноса)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 Трошкови пореза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265.226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191.000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226.432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Трошкови доприноса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419.592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206.000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230.307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204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 ФИНАНСИЈСКИ РАСХОДИ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900.000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600.000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1.100.603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82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Фин. расх. по ос. односа пов. пр. лица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Расходи камата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900.000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600.000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1.100.589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Негативне курсне разлике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Расх. по основу валутне клаузуле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5. Остали финансијски расходи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III  ОСТАЛИ РАСХОДИ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1.141.280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2.250.000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14.871.837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 Губици по ос. продаје и расх. немат.средст., некретнина, постројења и опреме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50.000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11.076.623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13A9D" w:rsidTr="00213A9D">
        <w:trPr>
          <w:trHeight w:val="244"/>
        </w:trPr>
        <w:tc>
          <w:tcPr>
            <w:tcW w:w="4767" w:type="dxa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 Губ. по ос. прод. и расх. инвест. некретнина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7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 Губ. по ос. прод. и расх. биолош. средс.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Губ. по ос. прод. сред. обустављеног пословања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5. Губ. по ос. прод. учешћа у капиталу и дугор. ХОВ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6. Губ. по ос. прод. материјала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20.556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7. Мањкови, изузимајући мањк. залиха учинака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8. Расх. по ос. заштите од ризика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 Расходи по ос. исправ. вриј. и отписа потр.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1.000.000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2.200.000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3.659.775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  Расходи по основу расходовања залиха материјала и робе и остали расходи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70.724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135.316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</w:tr>
      <w:tr w:rsidR="00213A9D" w:rsidTr="00213A9D">
        <w:trPr>
          <w:trHeight w:val="255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IV Расходи (I+II+III)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99.941.864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97.404.738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115.542.177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 Расх. од усклађивања вриј. имовине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13A9D" w:rsidRDefault="00213A9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VI  РАСХОДИ ПО ОСНОВУ ПРОМЈЕНЕ РАЧУНОВОДСТВЕНИХ ПОЛИТИКА  И ИСПРАВКЕ ГРЕШАКА ИЗ РАНИЈИХ ГОДИНА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#DIV/0!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#DIV/0!</w:t>
            </w:r>
          </w:p>
        </w:tc>
      </w:tr>
      <w:tr w:rsidR="00213A9D" w:rsidTr="00213A9D">
        <w:trPr>
          <w:trHeight w:val="60"/>
        </w:trPr>
        <w:tc>
          <w:tcPr>
            <w:tcW w:w="4767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13A9D" w:rsidRDefault="00213A9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УКУПНИ РАСХОДИ (IV+V+VI)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99.941.904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97.404.738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115.542.311</w:t>
            </w:r>
          </w:p>
        </w:tc>
        <w:tc>
          <w:tcPr>
            <w:tcW w:w="8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213A9D" w:rsidRDefault="00213A9D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</w:t>
            </w:r>
          </w:p>
        </w:tc>
      </w:tr>
    </w:tbl>
    <w:p w:rsidR="00BF0C15" w:rsidRPr="00C161F7" w:rsidRDefault="00BF0C15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D908F1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D908F1">
        <w:rPr>
          <w:rFonts w:ascii="Arial" w:hAnsi="Arial" w:cs="Arial"/>
          <w:sz w:val="22"/>
          <w:lang w:val="sr-Cyrl-CS"/>
        </w:rPr>
        <w:lastRenderedPageBreak/>
        <w:t xml:space="preserve">Укупни трошкови предузећа </w:t>
      </w:r>
      <w:r w:rsidRPr="00D908F1">
        <w:rPr>
          <w:rFonts w:ascii="Arial" w:hAnsi="Arial" w:cs="Arial"/>
          <w:sz w:val="22"/>
        </w:rPr>
        <w:t xml:space="preserve">према </w:t>
      </w:r>
      <w:r w:rsidR="00120469" w:rsidRPr="00D908F1">
        <w:rPr>
          <w:rFonts w:ascii="Arial" w:hAnsi="Arial" w:cs="Arial"/>
          <w:sz w:val="22"/>
          <w:lang w:val="sr-Cyrl-RS"/>
        </w:rPr>
        <w:t xml:space="preserve">Ребалансу плана </w:t>
      </w:r>
      <w:r w:rsidRPr="00D908F1">
        <w:rPr>
          <w:rFonts w:ascii="Arial" w:hAnsi="Arial" w:cs="Arial"/>
          <w:sz w:val="22"/>
        </w:rPr>
        <w:t>за</w:t>
      </w:r>
      <w:r w:rsidRPr="00D908F1">
        <w:rPr>
          <w:rFonts w:ascii="Arial" w:hAnsi="Arial" w:cs="Arial"/>
          <w:sz w:val="22"/>
          <w:lang w:val="sr-Cyrl-CS"/>
        </w:rPr>
        <w:t xml:space="preserve"> 20</w:t>
      </w:r>
      <w:r w:rsidR="00C751C5" w:rsidRPr="00D908F1">
        <w:rPr>
          <w:rFonts w:ascii="Arial" w:hAnsi="Arial" w:cs="Arial"/>
          <w:sz w:val="22"/>
        </w:rPr>
        <w:t>1</w:t>
      </w:r>
      <w:r w:rsidR="00D908F1" w:rsidRPr="00D908F1">
        <w:rPr>
          <w:rFonts w:ascii="Arial" w:hAnsi="Arial" w:cs="Arial"/>
          <w:sz w:val="22"/>
        </w:rPr>
        <w:t>8</w:t>
      </w:r>
      <w:r w:rsidRPr="00D908F1">
        <w:rPr>
          <w:rFonts w:ascii="Arial" w:hAnsi="Arial" w:cs="Arial"/>
          <w:sz w:val="22"/>
          <w:lang w:val="sr-Cyrl-CS"/>
        </w:rPr>
        <w:t>. годин</w:t>
      </w:r>
      <w:r w:rsidRPr="00D908F1">
        <w:rPr>
          <w:rFonts w:ascii="Arial" w:hAnsi="Arial" w:cs="Arial"/>
          <w:sz w:val="22"/>
        </w:rPr>
        <w:t>у</w:t>
      </w:r>
      <w:r w:rsidRPr="00D908F1">
        <w:rPr>
          <w:rFonts w:ascii="Arial" w:hAnsi="Arial" w:cs="Arial"/>
          <w:sz w:val="22"/>
          <w:lang w:val="sr-Cyrl-CS"/>
        </w:rPr>
        <w:t xml:space="preserve"> су </w:t>
      </w:r>
      <w:r w:rsidR="00D908F1" w:rsidRPr="00D908F1">
        <w:rPr>
          <w:rFonts w:ascii="Arial" w:hAnsi="Arial" w:cs="Arial"/>
          <w:sz w:val="22"/>
        </w:rPr>
        <w:t>99,94</w:t>
      </w:r>
      <w:r w:rsidR="00030E18" w:rsidRPr="00D908F1">
        <w:rPr>
          <w:rFonts w:ascii="Arial" w:hAnsi="Arial" w:cs="Arial"/>
          <w:sz w:val="22"/>
          <w:lang w:val="sr-Cyrl-CS"/>
        </w:rPr>
        <w:t xml:space="preserve"> </w:t>
      </w:r>
      <w:r w:rsidRPr="00D908F1">
        <w:rPr>
          <w:rFonts w:ascii="Arial" w:hAnsi="Arial" w:cs="Arial"/>
          <w:sz w:val="22"/>
          <w:lang w:val="sr-Cyrl-CS"/>
        </w:rPr>
        <w:t xml:space="preserve">мил. КМ. Трошкови пословања планирани су на бази важећег контног плана и у складу са постојећом билансном шемом. </w:t>
      </w:r>
    </w:p>
    <w:p w:rsidR="005A77A9" w:rsidRPr="00D908F1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D908F1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D908F1">
        <w:rPr>
          <w:rFonts w:ascii="Arial" w:hAnsi="Arial" w:cs="Arial"/>
          <w:sz w:val="22"/>
          <w:lang w:val="sr-Cyrl-CS"/>
        </w:rPr>
        <w:t>Планиране величине су следеће:</w:t>
      </w:r>
    </w:p>
    <w:p w:rsidR="005A77A9" w:rsidRPr="00D908F1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D908F1" w:rsidRDefault="005A77A9" w:rsidP="005A77A9">
      <w:pPr>
        <w:keepNext/>
        <w:ind w:left="720"/>
        <w:jc w:val="both"/>
        <w:outlineLvl w:val="8"/>
        <w:rPr>
          <w:rFonts w:ascii="Arial" w:hAnsi="Arial" w:cs="Arial"/>
          <w:b/>
          <w:sz w:val="22"/>
          <w:szCs w:val="28"/>
          <w:lang w:val="sr-Cyrl-CS"/>
        </w:rPr>
      </w:pPr>
      <w:r w:rsidRPr="00D908F1">
        <w:rPr>
          <w:rFonts w:ascii="Arial" w:hAnsi="Arial" w:cs="Arial"/>
          <w:b/>
          <w:sz w:val="22"/>
          <w:szCs w:val="28"/>
          <w:lang w:val="sr-Cyrl-CS"/>
        </w:rPr>
        <w:t>ПОСЛОВНИ РАСХОДИ</w:t>
      </w:r>
    </w:p>
    <w:p w:rsidR="005A77A9" w:rsidRPr="00D908F1" w:rsidRDefault="005A77A9" w:rsidP="005A77A9">
      <w:pPr>
        <w:ind w:left="540"/>
        <w:jc w:val="both"/>
        <w:rPr>
          <w:rFonts w:ascii="Arial" w:hAnsi="Arial" w:cs="Arial"/>
          <w:sz w:val="22"/>
          <w:lang w:val="sr-Cyrl-CS"/>
        </w:rPr>
      </w:pPr>
    </w:p>
    <w:p w:rsidR="00BF0C15" w:rsidRPr="00D908F1" w:rsidRDefault="005A77A9" w:rsidP="0046227E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b/>
          <w:sz w:val="22"/>
          <w:lang w:val="sr-Cyrl-CS"/>
        </w:rPr>
      </w:pPr>
      <w:r w:rsidRPr="00D908F1">
        <w:rPr>
          <w:rFonts w:ascii="Arial" w:hAnsi="Arial" w:cs="Arial"/>
          <w:b/>
          <w:sz w:val="22"/>
          <w:lang w:val="sr-Cyrl-CS"/>
        </w:rPr>
        <w:t xml:space="preserve">Трошкови материјала за израду и Трошкови осталог материјала </w:t>
      </w:r>
      <w:r w:rsidRPr="00D908F1">
        <w:rPr>
          <w:rFonts w:ascii="Arial" w:hAnsi="Arial" w:cs="Arial"/>
          <w:bCs/>
          <w:sz w:val="22"/>
          <w:lang w:val="sr-Cyrl-CS"/>
        </w:rPr>
        <w:t>планирани су</w:t>
      </w:r>
      <w:r w:rsidRPr="00D908F1">
        <w:rPr>
          <w:rFonts w:ascii="Arial" w:hAnsi="Arial" w:cs="Arial"/>
          <w:sz w:val="22"/>
          <w:lang w:val="sr-Cyrl-CS"/>
        </w:rPr>
        <w:t xml:space="preserve"> на основу </w:t>
      </w:r>
      <w:r w:rsidR="00120469" w:rsidRPr="00D908F1">
        <w:rPr>
          <w:rFonts w:ascii="Arial" w:hAnsi="Arial" w:cs="Arial"/>
          <w:sz w:val="22"/>
          <w:lang w:val="sr-Cyrl-CS"/>
        </w:rPr>
        <w:t>Ребаланса плана инвестиција</w:t>
      </w:r>
      <w:r w:rsidRPr="00D908F1">
        <w:rPr>
          <w:rFonts w:ascii="Arial" w:hAnsi="Arial" w:cs="Arial"/>
          <w:sz w:val="22"/>
          <w:lang w:val="sr-Cyrl-CS"/>
        </w:rPr>
        <w:t>, односно Плана набавки материјала за редовн</w:t>
      </w:r>
      <w:r w:rsidR="00120469" w:rsidRPr="00D908F1">
        <w:rPr>
          <w:rFonts w:ascii="Arial" w:hAnsi="Arial" w:cs="Arial"/>
          <w:sz w:val="22"/>
          <w:lang w:val="sr-Cyrl-CS"/>
        </w:rPr>
        <w:t>о и инвестиционо одржавање. Ребаланс плана</w:t>
      </w:r>
      <w:r w:rsidRPr="00D908F1">
        <w:rPr>
          <w:rFonts w:ascii="Arial" w:hAnsi="Arial" w:cs="Arial"/>
          <w:sz w:val="22"/>
          <w:lang w:val="sr-Cyrl-CS"/>
        </w:rPr>
        <w:t xml:space="preserve"> инвестиција </w:t>
      </w:r>
      <w:r w:rsidRPr="00D908F1">
        <w:rPr>
          <w:rFonts w:ascii="Arial" w:hAnsi="Arial" w:cs="Arial"/>
          <w:sz w:val="22"/>
        </w:rPr>
        <w:t>за 201</w:t>
      </w:r>
      <w:r w:rsidR="00D908F1" w:rsidRPr="00D908F1">
        <w:rPr>
          <w:rFonts w:ascii="Arial" w:hAnsi="Arial" w:cs="Arial"/>
          <w:sz w:val="22"/>
        </w:rPr>
        <w:t>8</w:t>
      </w:r>
      <w:r w:rsidRPr="00D908F1">
        <w:rPr>
          <w:rFonts w:ascii="Arial" w:hAnsi="Arial" w:cs="Arial"/>
          <w:sz w:val="22"/>
        </w:rPr>
        <w:t xml:space="preserve">. годину </w:t>
      </w:r>
      <w:r w:rsidRPr="00D908F1">
        <w:rPr>
          <w:rFonts w:ascii="Arial" w:hAnsi="Arial" w:cs="Arial"/>
          <w:sz w:val="22"/>
          <w:lang w:val="sr-Cyrl-CS"/>
        </w:rPr>
        <w:t>нал</w:t>
      </w:r>
      <w:r w:rsidR="00BF0C15" w:rsidRPr="00D908F1">
        <w:rPr>
          <w:rFonts w:ascii="Arial" w:hAnsi="Arial" w:cs="Arial"/>
          <w:sz w:val="22"/>
          <w:lang w:val="sr-Cyrl-CS"/>
        </w:rPr>
        <w:t>ази се у прилогу овог документа.</w:t>
      </w:r>
    </w:p>
    <w:p w:rsidR="00BF0C15" w:rsidRPr="00C161F7" w:rsidRDefault="00BF0C15" w:rsidP="0050547F">
      <w:pPr>
        <w:ind w:left="360"/>
        <w:rPr>
          <w:rFonts w:ascii="Arial" w:hAnsi="Arial" w:cs="Arial"/>
          <w:b/>
          <w:sz w:val="22"/>
          <w:highlight w:val="yellow"/>
          <w:lang w:val="sr-Cyrl-CS"/>
        </w:rPr>
      </w:pPr>
    </w:p>
    <w:p w:rsidR="005A77A9" w:rsidRPr="00D908F1" w:rsidRDefault="005A77A9" w:rsidP="00981F2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D908F1">
        <w:rPr>
          <w:rFonts w:ascii="Arial" w:hAnsi="Arial" w:cs="Arial"/>
          <w:b/>
          <w:sz w:val="22"/>
          <w:lang w:val="sr-Cyrl-CS"/>
        </w:rPr>
        <w:t>Трошкови горива</w:t>
      </w:r>
      <w:r w:rsidRPr="00D908F1">
        <w:rPr>
          <w:rFonts w:ascii="Arial" w:hAnsi="Arial" w:cs="Arial"/>
          <w:sz w:val="22"/>
          <w:lang w:val="sr-Cyrl-CS"/>
        </w:rPr>
        <w:t xml:space="preserve"> планирани су према </w:t>
      </w:r>
      <w:r w:rsidR="00D908F1" w:rsidRPr="00D908F1">
        <w:rPr>
          <w:rFonts w:ascii="Arial" w:hAnsi="Arial" w:cs="Arial"/>
          <w:sz w:val="22"/>
          <w:lang w:val="sr-Cyrl-CS"/>
        </w:rPr>
        <w:t xml:space="preserve">Смјерницама по цијени од </w:t>
      </w:r>
      <w:r w:rsidR="00D908F1" w:rsidRPr="00D908F1">
        <w:rPr>
          <w:rFonts w:ascii="Arial" w:hAnsi="Arial" w:cs="Arial"/>
          <w:sz w:val="22"/>
        </w:rPr>
        <w:t>2,18</w:t>
      </w:r>
      <w:r w:rsidR="00BF0C15" w:rsidRPr="00D908F1">
        <w:rPr>
          <w:rFonts w:ascii="Arial" w:hAnsi="Arial" w:cs="Arial"/>
          <w:sz w:val="22"/>
          <w:lang w:val="sr-Cyrl-CS"/>
        </w:rPr>
        <w:t xml:space="preserve"> КМ/литру за дизел и бензин, док су количине горива планиране према нормативима и потрошњи </w:t>
      </w:r>
      <w:r w:rsidRPr="00D908F1">
        <w:rPr>
          <w:rFonts w:ascii="Arial" w:hAnsi="Arial" w:cs="Arial"/>
          <w:sz w:val="22"/>
          <w:lang w:val="sr-Cyrl-CS"/>
        </w:rPr>
        <w:t>из ранијих периода</w:t>
      </w:r>
      <w:r w:rsidR="00BF0C15" w:rsidRPr="00D908F1">
        <w:rPr>
          <w:rFonts w:ascii="Arial" w:hAnsi="Arial" w:cs="Arial"/>
          <w:sz w:val="22"/>
          <w:lang w:val="sr-Cyrl-CS"/>
        </w:rPr>
        <w:t>.</w:t>
      </w:r>
      <w:r w:rsidRPr="00D908F1">
        <w:rPr>
          <w:rFonts w:ascii="Arial" w:hAnsi="Arial" w:cs="Arial"/>
          <w:sz w:val="22"/>
          <w:lang w:val="sr-Cyrl-CS"/>
        </w:rPr>
        <w:t xml:space="preserve"> </w:t>
      </w:r>
    </w:p>
    <w:p w:rsidR="005A77A9" w:rsidRPr="00C161F7" w:rsidRDefault="005A77A9" w:rsidP="0050547F">
      <w:pPr>
        <w:rPr>
          <w:rFonts w:ascii="Arial" w:hAnsi="Arial" w:cs="Arial"/>
          <w:b/>
          <w:sz w:val="22"/>
          <w:highlight w:val="yellow"/>
          <w:lang w:val="sr-Cyrl-CS"/>
        </w:rPr>
      </w:pPr>
    </w:p>
    <w:p w:rsidR="00BF0C15" w:rsidRPr="00DB6460" w:rsidRDefault="005A77A9" w:rsidP="00981F2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DB6460">
        <w:rPr>
          <w:rFonts w:ascii="Arial" w:hAnsi="Arial" w:cs="Arial"/>
          <w:b/>
          <w:sz w:val="22"/>
          <w:lang w:val="sr-Cyrl-CS"/>
        </w:rPr>
        <w:t xml:space="preserve">Трошкови енергије </w:t>
      </w:r>
      <w:r w:rsidRPr="00DB6460">
        <w:rPr>
          <w:rFonts w:ascii="Arial" w:hAnsi="Arial" w:cs="Arial"/>
          <w:sz w:val="22"/>
          <w:lang w:val="sr-Cyrl-CS"/>
        </w:rPr>
        <w:t>планирани су на основу бруто дистрибутивне потрошње која  у 20</w:t>
      </w:r>
      <w:r w:rsidRPr="00DB6460">
        <w:rPr>
          <w:rFonts w:ascii="Arial" w:hAnsi="Arial" w:cs="Arial"/>
          <w:sz w:val="22"/>
        </w:rPr>
        <w:t>1</w:t>
      </w:r>
      <w:r w:rsidR="00D908F1" w:rsidRPr="00DB6460">
        <w:rPr>
          <w:rFonts w:ascii="Arial" w:hAnsi="Arial" w:cs="Arial"/>
          <w:sz w:val="22"/>
        </w:rPr>
        <w:t>8</w:t>
      </w:r>
      <w:r w:rsidRPr="00DB6460">
        <w:rPr>
          <w:rFonts w:ascii="Arial" w:hAnsi="Arial" w:cs="Arial"/>
          <w:sz w:val="22"/>
          <w:lang w:val="sr-Cyrl-CS"/>
        </w:rPr>
        <w:t>. години према</w:t>
      </w:r>
      <w:r w:rsidR="00120469" w:rsidRPr="00DB6460">
        <w:rPr>
          <w:rFonts w:ascii="Arial" w:hAnsi="Arial" w:cs="Arial"/>
          <w:sz w:val="22"/>
          <w:lang w:val="sr-Cyrl-CS"/>
        </w:rPr>
        <w:t xml:space="preserve"> Ребалансу ЕЕБ</w:t>
      </w:r>
      <w:r w:rsidRPr="00DB6460">
        <w:rPr>
          <w:rFonts w:ascii="Arial" w:hAnsi="Arial" w:cs="Arial"/>
          <w:sz w:val="22"/>
          <w:lang w:val="sr-Cyrl-CS"/>
        </w:rPr>
        <w:t xml:space="preserve"> износи </w:t>
      </w:r>
      <w:r w:rsidR="00DB6460" w:rsidRPr="00DB6460">
        <w:rPr>
          <w:rFonts w:ascii="Arial" w:hAnsi="Arial" w:cs="Arial"/>
          <w:sz w:val="22"/>
        </w:rPr>
        <w:t>825.</w:t>
      </w:r>
      <w:r w:rsidR="002A1914" w:rsidRPr="00DB6460">
        <w:rPr>
          <w:rFonts w:ascii="Arial" w:hAnsi="Arial" w:cs="Arial"/>
          <w:sz w:val="22"/>
        </w:rPr>
        <w:t>8</w:t>
      </w:r>
      <w:r w:rsidR="00DB6460" w:rsidRPr="00DB6460">
        <w:rPr>
          <w:rFonts w:ascii="Arial" w:hAnsi="Arial" w:cs="Arial"/>
          <w:sz w:val="22"/>
        </w:rPr>
        <w:t>5</w:t>
      </w:r>
      <w:r w:rsidR="002A1914" w:rsidRPr="00DB6460">
        <w:rPr>
          <w:rFonts w:ascii="Arial" w:hAnsi="Arial" w:cs="Arial"/>
          <w:sz w:val="22"/>
        </w:rPr>
        <w:t xml:space="preserve"> </w:t>
      </w:r>
      <w:r w:rsidRPr="00DB6460">
        <w:rPr>
          <w:rFonts w:ascii="Arial" w:hAnsi="Arial" w:cs="Arial"/>
          <w:sz w:val="22"/>
          <w:lang w:val="sr-Latn-CS"/>
        </w:rPr>
        <w:t>GWh</w:t>
      </w:r>
      <w:r w:rsidRPr="00DB6460">
        <w:rPr>
          <w:rFonts w:ascii="Arial" w:hAnsi="Arial" w:cs="Arial"/>
          <w:sz w:val="22"/>
          <w:lang w:val="sr-Cyrl-CS"/>
        </w:rPr>
        <w:t xml:space="preserve"> и на основу планиран</w:t>
      </w:r>
      <w:r w:rsidRPr="00DB6460">
        <w:rPr>
          <w:rFonts w:ascii="Arial" w:hAnsi="Arial" w:cs="Arial"/>
          <w:sz w:val="22"/>
        </w:rPr>
        <w:t>е</w:t>
      </w:r>
      <w:r w:rsidRPr="00DB6460">
        <w:rPr>
          <w:rFonts w:ascii="Arial" w:hAnsi="Arial" w:cs="Arial"/>
          <w:sz w:val="22"/>
          <w:lang w:val="sr-Cyrl-CS"/>
        </w:rPr>
        <w:t xml:space="preserve"> цијен</w:t>
      </w:r>
      <w:r w:rsidRPr="00DB6460">
        <w:rPr>
          <w:rFonts w:ascii="Arial" w:hAnsi="Arial" w:cs="Arial"/>
          <w:sz w:val="22"/>
        </w:rPr>
        <w:t>е за дистрибуцију.</w:t>
      </w:r>
      <w:r w:rsidR="00BF0C15" w:rsidRPr="00DB6460">
        <w:rPr>
          <w:rFonts w:ascii="Arial" w:hAnsi="Arial" w:cs="Arial"/>
          <w:sz w:val="22"/>
          <w:lang w:val="sr-Cyrl-BA"/>
        </w:rPr>
        <w:t xml:space="preserve"> </w:t>
      </w:r>
      <w:r w:rsidRPr="00DB6460">
        <w:rPr>
          <w:rFonts w:ascii="Arial" w:hAnsi="Arial" w:cs="Arial"/>
          <w:sz w:val="22"/>
        </w:rPr>
        <w:t xml:space="preserve"> </w:t>
      </w:r>
    </w:p>
    <w:p w:rsidR="00BF0C15" w:rsidRPr="00C161F7" w:rsidRDefault="00BF0C15" w:rsidP="0050547F">
      <w:pPr>
        <w:pStyle w:val="ListParagraph"/>
        <w:ind w:left="360"/>
        <w:rPr>
          <w:rFonts w:ascii="Arial" w:hAnsi="Arial" w:cs="Arial"/>
          <w:sz w:val="22"/>
          <w:highlight w:val="yellow"/>
        </w:rPr>
      </w:pPr>
    </w:p>
    <w:p w:rsidR="00981F23" w:rsidRPr="00DB6460" w:rsidRDefault="005A77A9" w:rsidP="000019D5">
      <w:pPr>
        <w:ind w:left="360"/>
        <w:jc w:val="both"/>
        <w:rPr>
          <w:rFonts w:ascii="Arial" w:hAnsi="Arial" w:cs="Arial"/>
          <w:sz w:val="22"/>
        </w:rPr>
      </w:pPr>
      <w:r w:rsidRPr="00DB6460">
        <w:rPr>
          <w:rFonts w:ascii="Arial" w:hAnsi="Arial" w:cs="Arial"/>
          <w:sz w:val="22"/>
        </w:rPr>
        <w:t>Расход дистрибуције за преузету електричну енергију утврђен је од стране Дирекције за</w:t>
      </w:r>
      <w:r w:rsidR="00BF0C15" w:rsidRPr="00DB6460">
        <w:rPr>
          <w:rFonts w:ascii="Arial" w:hAnsi="Arial" w:cs="Arial"/>
          <w:sz w:val="22"/>
        </w:rPr>
        <w:t xml:space="preserve"> комерцијалне послове МХ ЕРС-а. </w:t>
      </w:r>
    </w:p>
    <w:p w:rsidR="0050547F" w:rsidRPr="00C161F7" w:rsidRDefault="0050547F" w:rsidP="0050547F">
      <w:pPr>
        <w:ind w:left="360"/>
        <w:rPr>
          <w:rFonts w:ascii="Arial" w:hAnsi="Arial" w:cs="Arial"/>
          <w:sz w:val="22"/>
          <w:highlight w:val="yellow"/>
          <w:lang w:val="sr-Cyrl-BA"/>
        </w:rPr>
      </w:pPr>
    </w:p>
    <w:p w:rsidR="00C44FC2" w:rsidRPr="00F52268" w:rsidRDefault="00C44FC2" w:rsidP="00C44FC2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lang w:val="sr-Cyrl-CS"/>
        </w:rPr>
      </w:pPr>
      <w:r w:rsidRPr="00F52268">
        <w:rPr>
          <w:rFonts w:ascii="Arial" w:hAnsi="Arial" w:cs="Arial"/>
          <w:b/>
          <w:sz w:val="22"/>
          <w:lang w:val="sr-Cyrl-CS"/>
        </w:rPr>
        <w:t xml:space="preserve">Трошкови зарада, накнада зарада и остали лични расходи </w:t>
      </w:r>
      <w:r w:rsidRPr="00F52268">
        <w:rPr>
          <w:rFonts w:ascii="Arial" w:hAnsi="Arial" w:cs="Arial"/>
          <w:sz w:val="22"/>
          <w:lang w:val="sr-Cyrl-CS"/>
        </w:rPr>
        <w:t>планирани су према Смјерницама ЕРС-а</w:t>
      </w:r>
      <w:r w:rsidRPr="00F52268">
        <w:rPr>
          <w:rFonts w:ascii="Arial" w:hAnsi="Arial" w:cs="Arial"/>
          <w:sz w:val="22"/>
          <w:lang w:val="sr-Cyrl-RS"/>
        </w:rPr>
        <w:t xml:space="preserve"> </w:t>
      </w:r>
      <w:r>
        <w:rPr>
          <w:rFonts w:ascii="Arial" w:hAnsi="Arial" w:cs="Arial"/>
          <w:sz w:val="22"/>
          <w:lang w:val="sr-Cyrl-CS"/>
        </w:rPr>
        <w:t xml:space="preserve">у складу са Измјенама и допунама Закона о раду и Закону о порезу на доходак ( Службени гласник РС бр.66/18 ) и Правилником о допориносима и Правилником о порезу на доходак ( Службени гласник РС бр.68/18 ) са примјеном од 01.09.2018. године. </w:t>
      </w:r>
    </w:p>
    <w:p w:rsidR="00C44FC2" w:rsidRDefault="00C44FC2" w:rsidP="00C44FC2">
      <w:pPr>
        <w:ind w:left="360"/>
        <w:rPr>
          <w:rFonts w:ascii="Arial" w:hAnsi="Arial" w:cs="Arial"/>
          <w:sz w:val="22"/>
        </w:rPr>
      </w:pPr>
    </w:p>
    <w:p w:rsidR="00C44FC2" w:rsidRPr="005A77A9" w:rsidRDefault="00C44FC2" w:rsidP="00C44FC2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lang w:val="sr-Cyrl-CS"/>
        </w:rPr>
        <w:t xml:space="preserve">Трошкови регреса планирани су у висини просјечне плате Републике Српске која је износила 831 КМ. </w:t>
      </w:r>
      <w:r w:rsidRPr="005A77A9">
        <w:rPr>
          <w:rFonts w:ascii="Arial" w:hAnsi="Arial" w:cs="Arial"/>
          <w:sz w:val="22"/>
          <w:lang w:val="sr-Cyrl-CS"/>
        </w:rPr>
        <w:t xml:space="preserve">Остали лични расходи (отпремнине, јубиларне награде, стимулативне отпремнине и др.) планирани су у складу са </w:t>
      </w:r>
      <w:r>
        <w:rPr>
          <w:rFonts w:ascii="Arial" w:hAnsi="Arial" w:cs="Arial"/>
          <w:sz w:val="22"/>
          <w:lang w:val="sr-Cyrl-CS"/>
        </w:rPr>
        <w:t xml:space="preserve">важећим </w:t>
      </w:r>
      <w:r w:rsidRPr="005A77A9">
        <w:rPr>
          <w:rFonts w:ascii="Arial" w:hAnsi="Arial" w:cs="Arial"/>
          <w:sz w:val="22"/>
          <w:lang w:val="sr-Cyrl-CS"/>
        </w:rPr>
        <w:t xml:space="preserve">Колективним уговором, и на бази остварене просјечне плате. </w:t>
      </w:r>
    </w:p>
    <w:p w:rsidR="005A77A9" w:rsidRPr="00C161F7" w:rsidRDefault="005A77A9" w:rsidP="005A77A9">
      <w:pPr>
        <w:jc w:val="both"/>
        <w:rPr>
          <w:rFonts w:ascii="Arial" w:hAnsi="Arial" w:cs="Arial"/>
          <w:b/>
          <w:sz w:val="22"/>
          <w:highlight w:val="yellow"/>
          <w:lang w:val="sr-Cyrl-CS"/>
        </w:rPr>
      </w:pPr>
    </w:p>
    <w:p w:rsidR="005A77A9" w:rsidRPr="00C44FC2" w:rsidRDefault="005A77A9" w:rsidP="0046227E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C44FC2">
        <w:rPr>
          <w:rFonts w:ascii="Arial" w:hAnsi="Arial" w:cs="Arial"/>
          <w:b/>
          <w:sz w:val="22"/>
          <w:lang w:val="sr-Cyrl-CS"/>
        </w:rPr>
        <w:t>Трошкови производних услуга</w:t>
      </w:r>
      <w:r w:rsidRPr="00C44FC2">
        <w:rPr>
          <w:rFonts w:ascii="Arial" w:hAnsi="Arial" w:cs="Arial"/>
          <w:sz w:val="22"/>
          <w:lang w:val="sr-Cyrl-CS"/>
        </w:rPr>
        <w:t xml:space="preserve"> (ПТТ и транспортне услуге, текуће одржавање објеката, опреме, возила, инвестиционо одржавање објеката, закупнине, сајмови, огласи, комуналне услуге, заштита на раду) процјењени су на бази</w:t>
      </w:r>
      <w:r w:rsidRPr="00C44FC2">
        <w:rPr>
          <w:rFonts w:ascii="Arial" w:hAnsi="Arial" w:cs="Arial"/>
          <w:sz w:val="22"/>
        </w:rPr>
        <w:t xml:space="preserve"> остварења за </w:t>
      </w:r>
      <w:r w:rsidR="00120469" w:rsidRPr="00C44FC2">
        <w:rPr>
          <w:rFonts w:ascii="Arial" w:hAnsi="Arial" w:cs="Arial"/>
          <w:sz w:val="22"/>
          <w:lang w:val="sr-Cyrl-CS"/>
        </w:rPr>
        <w:t xml:space="preserve">шест месеци </w:t>
      </w:r>
      <w:r w:rsidRPr="00C44FC2">
        <w:rPr>
          <w:rFonts w:ascii="Arial" w:hAnsi="Arial" w:cs="Arial"/>
          <w:sz w:val="22"/>
        </w:rPr>
        <w:t>201</w:t>
      </w:r>
      <w:r w:rsidR="00C44FC2" w:rsidRPr="00C44FC2">
        <w:rPr>
          <w:rFonts w:ascii="Arial" w:hAnsi="Arial" w:cs="Arial"/>
          <w:sz w:val="22"/>
          <w:lang w:val="sr-Cyrl-RS"/>
        </w:rPr>
        <w:t>8</w:t>
      </w:r>
      <w:r w:rsidRPr="00C44FC2">
        <w:rPr>
          <w:rFonts w:ascii="Arial" w:hAnsi="Arial" w:cs="Arial"/>
          <w:sz w:val="22"/>
        </w:rPr>
        <w:t xml:space="preserve">. </w:t>
      </w:r>
      <w:r w:rsidR="00120469" w:rsidRPr="00C44FC2">
        <w:rPr>
          <w:rFonts w:ascii="Arial" w:hAnsi="Arial" w:cs="Arial"/>
          <w:sz w:val="22"/>
        </w:rPr>
        <w:t xml:space="preserve">године </w:t>
      </w:r>
      <w:r w:rsidR="00120469" w:rsidRPr="00C44FC2">
        <w:rPr>
          <w:rFonts w:ascii="Arial" w:hAnsi="Arial" w:cs="Arial"/>
          <w:sz w:val="22"/>
          <w:lang w:val="sr-Cyrl-CS"/>
        </w:rPr>
        <w:t>и оствар</w:t>
      </w:r>
      <w:r w:rsidR="00C44FC2" w:rsidRPr="00C44FC2">
        <w:rPr>
          <w:rFonts w:ascii="Arial" w:hAnsi="Arial" w:cs="Arial"/>
          <w:sz w:val="22"/>
          <w:lang w:val="sr-Cyrl-CS"/>
        </w:rPr>
        <w:t>ења 2017</w:t>
      </w:r>
      <w:r w:rsidR="00120469" w:rsidRPr="00C44FC2">
        <w:rPr>
          <w:rFonts w:ascii="Arial" w:hAnsi="Arial" w:cs="Arial"/>
          <w:sz w:val="22"/>
          <w:lang w:val="sr-Cyrl-CS"/>
        </w:rPr>
        <w:t>. године.</w:t>
      </w:r>
      <w:r w:rsidRPr="00C44FC2">
        <w:rPr>
          <w:rFonts w:ascii="Arial" w:hAnsi="Arial" w:cs="Arial"/>
          <w:sz w:val="22"/>
        </w:rPr>
        <w:t xml:space="preserve"> </w:t>
      </w:r>
      <w:r w:rsidR="00120469" w:rsidRPr="00C44FC2">
        <w:rPr>
          <w:rFonts w:ascii="Arial" w:hAnsi="Arial" w:cs="Arial"/>
          <w:sz w:val="22"/>
          <w:lang w:val="sr-Cyrl-CS"/>
        </w:rPr>
        <w:t xml:space="preserve">Према Ребалансу </w:t>
      </w:r>
      <w:r w:rsidRPr="00C44FC2">
        <w:rPr>
          <w:rFonts w:ascii="Arial" w:hAnsi="Arial" w:cs="Arial"/>
          <w:sz w:val="22"/>
          <w:lang w:val="sr-Cyrl-CS"/>
        </w:rPr>
        <w:t xml:space="preserve">ови трошкови износе </w:t>
      </w:r>
      <w:r w:rsidR="0029728A" w:rsidRPr="00C44FC2">
        <w:rPr>
          <w:rFonts w:ascii="Arial" w:hAnsi="Arial" w:cs="Arial"/>
          <w:sz w:val="22"/>
          <w:lang w:val="sr-Cyrl-CS"/>
        </w:rPr>
        <w:t>1,</w:t>
      </w:r>
      <w:r w:rsidR="00C44FC2" w:rsidRPr="00C44FC2">
        <w:rPr>
          <w:rFonts w:ascii="Arial" w:hAnsi="Arial" w:cs="Arial"/>
          <w:sz w:val="22"/>
          <w:lang w:val="sr-Cyrl-CS"/>
        </w:rPr>
        <w:t>60</w:t>
      </w:r>
      <w:r w:rsidRPr="00C44FC2">
        <w:rPr>
          <w:rFonts w:ascii="Arial" w:hAnsi="Arial" w:cs="Arial"/>
          <w:sz w:val="22"/>
          <w:lang w:val="sr-Cyrl-CS"/>
        </w:rPr>
        <w:t xml:space="preserve"> мил. КМ.</w:t>
      </w:r>
      <w:r w:rsidRPr="00C44FC2">
        <w:rPr>
          <w:rFonts w:ascii="Arial" w:hAnsi="Arial" w:cs="Arial"/>
          <w:sz w:val="22"/>
        </w:rPr>
        <w:t xml:space="preserve"> </w:t>
      </w:r>
    </w:p>
    <w:p w:rsidR="005A77A9" w:rsidRPr="00C161F7" w:rsidRDefault="005A77A9" w:rsidP="005A77A9">
      <w:pPr>
        <w:ind w:left="720"/>
        <w:jc w:val="both"/>
        <w:rPr>
          <w:bCs/>
          <w:highlight w:val="yellow"/>
          <w:lang w:val="sr-Cyrl-CS"/>
        </w:rPr>
      </w:pPr>
    </w:p>
    <w:p w:rsidR="005A77A9" w:rsidRPr="00402C33" w:rsidRDefault="005A77A9" w:rsidP="0046227E">
      <w:pPr>
        <w:numPr>
          <w:ilvl w:val="0"/>
          <w:numId w:val="7"/>
        </w:numPr>
        <w:tabs>
          <w:tab w:val="num" w:pos="720"/>
        </w:tabs>
        <w:jc w:val="both"/>
        <w:rPr>
          <w:bCs/>
          <w:lang w:val="sr-Cyrl-CS"/>
        </w:rPr>
      </w:pPr>
      <w:r w:rsidRPr="00402C33">
        <w:rPr>
          <w:rFonts w:ascii="Arial" w:hAnsi="Arial" w:cs="Arial"/>
          <w:b/>
          <w:sz w:val="22"/>
        </w:rPr>
        <w:t xml:space="preserve">Трошкови амортизације </w:t>
      </w:r>
      <w:r w:rsidRPr="00402C33">
        <w:rPr>
          <w:rFonts w:ascii="Arial" w:hAnsi="Arial" w:cs="Arial"/>
          <w:sz w:val="22"/>
        </w:rPr>
        <w:t>планирани су на основу процјењене вриједности основних средстава на дан 31.12.20</w:t>
      </w:r>
      <w:r w:rsidR="00402C33" w:rsidRPr="00402C33">
        <w:rPr>
          <w:rFonts w:ascii="Arial" w:hAnsi="Arial" w:cs="Arial"/>
          <w:sz w:val="22"/>
          <w:lang w:val="sr-Cyrl-RS"/>
        </w:rPr>
        <w:t>17</w:t>
      </w:r>
      <w:r w:rsidRPr="00402C33">
        <w:rPr>
          <w:rFonts w:ascii="Arial" w:hAnsi="Arial" w:cs="Arial"/>
          <w:sz w:val="22"/>
        </w:rPr>
        <w:t xml:space="preserve">. Амортизација се обрачунава за свако средство појединачно и у складу са преосталим животним вијеком средства. За основна средства која се планирају набавити према </w:t>
      </w:r>
      <w:r w:rsidRPr="00402C33">
        <w:rPr>
          <w:rFonts w:ascii="Arial" w:hAnsi="Arial" w:cs="Arial"/>
          <w:sz w:val="22"/>
          <w:lang w:val="sr-Cyrl-CS"/>
        </w:rPr>
        <w:t>ребалансу п</w:t>
      </w:r>
      <w:r w:rsidRPr="00402C33">
        <w:rPr>
          <w:rFonts w:ascii="Arial" w:hAnsi="Arial" w:cs="Arial"/>
          <w:sz w:val="22"/>
        </w:rPr>
        <w:t>лан</w:t>
      </w:r>
      <w:r w:rsidRPr="00402C33">
        <w:rPr>
          <w:rFonts w:ascii="Arial" w:hAnsi="Arial" w:cs="Arial"/>
          <w:sz w:val="22"/>
          <w:lang w:val="sr-Cyrl-CS"/>
        </w:rPr>
        <w:t>а</w:t>
      </w:r>
      <w:r w:rsidRPr="00402C33">
        <w:rPr>
          <w:rFonts w:ascii="Arial" w:hAnsi="Arial" w:cs="Arial"/>
          <w:sz w:val="22"/>
        </w:rPr>
        <w:t xml:space="preserve"> инвестиција у наредном периоду, обрачун амортизације за сваку групу средстава планиран је према припадајућој </w:t>
      </w:r>
      <w:r w:rsidRPr="00402C33">
        <w:rPr>
          <w:rFonts w:ascii="Arial" w:hAnsi="Arial" w:cs="Arial"/>
          <w:sz w:val="22"/>
          <w:lang w:val="sr-Cyrl-BA"/>
        </w:rPr>
        <w:t xml:space="preserve">амортизационој </w:t>
      </w:r>
      <w:r w:rsidRPr="00402C33">
        <w:rPr>
          <w:rFonts w:ascii="Arial" w:hAnsi="Arial" w:cs="Arial"/>
          <w:sz w:val="22"/>
        </w:rPr>
        <w:t xml:space="preserve">стопи. </w:t>
      </w:r>
    </w:p>
    <w:p w:rsidR="005A77A9" w:rsidRPr="00C161F7" w:rsidRDefault="005A77A9" w:rsidP="005A77A9">
      <w:pPr>
        <w:jc w:val="both"/>
        <w:rPr>
          <w:bCs/>
          <w:highlight w:val="yellow"/>
          <w:lang w:val="sr-Cyrl-CS"/>
        </w:rPr>
      </w:pPr>
    </w:p>
    <w:p w:rsidR="005A77A9" w:rsidRPr="00402C33" w:rsidRDefault="005A77A9" w:rsidP="0046227E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Arial" w:hAnsi="Arial" w:cs="Arial"/>
          <w:b/>
          <w:sz w:val="22"/>
          <w:lang w:val="sr-Cyrl-CS"/>
        </w:rPr>
      </w:pPr>
      <w:r w:rsidRPr="00402C33">
        <w:rPr>
          <w:rFonts w:ascii="Arial" w:hAnsi="Arial" w:cs="Arial"/>
          <w:b/>
          <w:sz w:val="22"/>
          <w:lang w:val="sr-Cyrl-CS"/>
        </w:rPr>
        <w:t xml:space="preserve">Нематеријални трошкови (без пореза и доприноса) </w:t>
      </w:r>
      <w:r w:rsidRPr="00402C33">
        <w:rPr>
          <w:rFonts w:ascii="Arial" w:hAnsi="Arial" w:cs="Arial"/>
          <w:sz w:val="22"/>
          <w:lang w:val="sr-Cyrl-CS"/>
        </w:rPr>
        <w:t xml:space="preserve">(репрезентација, осигурање, платни промет) планирани су у складу са остварењем </w:t>
      </w:r>
      <w:r w:rsidR="00FB47CC" w:rsidRPr="00402C33">
        <w:rPr>
          <w:rFonts w:ascii="Arial" w:hAnsi="Arial" w:cs="Arial"/>
          <w:sz w:val="22"/>
          <w:lang w:val="sr-Cyrl-CS"/>
        </w:rPr>
        <w:t>претходног</w:t>
      </w:r>
      <w:r w:rsidRPr="00402C33">
        <w:rPr>
          <w:rFonts w:ascii="Arial" w:hAnsi="Arial" w:cs="Arial"/>
          <w:sz w:val="22"/>
          <w:lang w:val="sr-Cyrl-CS"/>
        </w:rPr>
        <w:t xml:space="preserve"> </w:t>
      </w:r>
      <w:r w:rsidRPr="00402C33">
        <w:rPr>
          <w:rFonts w:ascii="Arial" w:hAnsi="Arial" w:cs="Arial"/>
          <w:sz w:val="22"/>
          <w:lang w:val="sr-Cyrl-RS"/>
        </w:rPr>
        <w:t xml:space="preserve">периода </w:t>
      </w:r>
      <w:r w:rsidRPr="00402C33">
        <w:rPr>
          <w:rFonts w:ascii="Arial" w:hAnsi="Arial" w:cs="Arial"/>
          <w:sz w:val="22"/>
          <w:lang w:val="sr-Cyrl-BA"/>
        </w:rPr>
        <w:t>и</w:t>
      </w:r>
      <w:r w:rsidRPr="00402C33">
        <w:rPr>
          <w:rFonts w:ascii="Arial" w:hAnsi="Arial" w:cs="Arial"/>
          <w:sz w:val="22"/>
        </w:rPr>
        <w:t xml:space="preserve"> уз </w:t>
      </w:r>
      <w:r w:rsidRPr="00402C33">
        <w:rPr>
          <w:rFonts w:ascii="Arial" w:hAnsi="Arial" w:cs="Arial"/>
          <w:sz w:val="22"/>
        </w:rPr>
        <w:lastRenderedPageBreak/>
        <w:t>п</w:t>
      </w:r>
      <w:r w:rsidRPr="00402C33">
        <w:rPr>
          <w:rFonts w:ascii="Arial" w:hAnsi="Arial" w:cs="Arial"/>
          <w:sz w:val="22"/>
          <w:lang w:val="sr-Cyrl-CS"/>
        </w:rPr>
        <w:t>ретпоставк</w:t>
      </w:r>
      <w:r w:rsidRPr="00402C33">
        <w:rPr>
          <w:rFonts w:ascii="Arial" w:hAnsi="Arial" w:cs="Arial"/>
          <w:sz w:val="22"/>
        </w:rPr>
        <w:t>у</w:t>
      </w:r>
      <w:r w:rsidRPr="00402C33">
        <w:rPr>
          <w:rFonts w:ascii="Arial" w:hAnsi="Arial" w:cs="Arial"/>
          <w:sz w:val="22"/>
          <w:lang w:val="sr-Cyrl-CS"/>
        </w:rPr>
        <w:t xml:space="preserve"> да ће у оквиру појединих трошкова услед рационалнијег начина пословања доћи до смањења њиховог износа.  </w:t>
      </w:r>
    </w:p>
    <w:p w:rsidR="00402C33" w:rsidRPr="00D233A6" w:rsidRDefault="00402C33" w:rsidP="00D233A6">
      <w:pPr>
        <w:jc w:val="both"/>
        <w:rPr>
          <w:rFonts w:ascii="Arial" w:hAnsi="Arial" w:cs="Arial"/>
          <w:b/>
          <w:sz w:val="22"/>
          <w:szCs w:val="28"/>
          <w:highlight w:val="yellow"/>
        </w:rPr>
      </w:pPr>
    </w:p>
    <w:p w:rsidR="005A77A9" w:rsidRDefault="005A77A9" w:rsidP="00D233A6">
      <w:pPr>
        <w:ind w:left="1080"/>
        <w:jc w:val="both"/>
        <w:rPr>
          <w:rFonts w:ascii="Arial" w:hAnsi="Arial" w:cs="Arial"/>
          <w:sz w:val="22"/>
          <w:szCs w:val="28"/>
        </w:rPr>
      </w:pPr>
      <w:r w:rsidRPr="00402C33">
        <w:rPr>
          <w:rFonts w:ascii="Arial" w:hAnsi="Arial" w:cs="Arial"/>
          <w:b/>
          <w:sz w:val="22"/>
          <w:szCs w:val="28"/>
          <w:lang w:val="sr-Cyrl-CS"/>
        </w:rPr>
        <w:t>ФИНАНСИЈСКИ РАСХОД</w:t>
      </w:r>
    </w:p>
    <w:p w:rsidR="00D233A6" w:rsidRPr="00D233A6" w:rsidRDefault="00D233A6" w:rsidP="00D233A6">
      <w:pPr>
        <w:ind w:left="1080"/>
        <w:jc w:val="both"/>
        <w:rPr>
          <w:rFonts w:ascii="Arial" w:hAnsi="Arial" w:cs="Arial"/>
          <w:sz w:val="22"/>
          <w:szCs w:val="28"/>
        </w:rPr>
      </w:pPr>
    </w:p>
    <w:p w:rsidR="005A77A9" w:rsidRPr="00402C33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402C33">
        <w:rPr>
          <w:rFonts w:ascii="Arial" w:hAnsi="Arial" w:cs="Arial"/>
          <w:sz w:val="22"/>
          <w:lang w:val="sr-Cyrl-CS"/>
        </w:rPr>
        <w:t>Расходи камата по кредитима</w:t>
      </w:r>
      <w:r w:rsidRPr="00402C33">
        <w:rPr>
          <w:rFonts w:ascii="Arial" w:hAnsi="Arial" w:cs="Arial"/>
          <w:b/>
          <w:sz w:val="22"/>
          <w:lang w:val="sr-Cyrl-CS"/>
        </w:rPr>
        <w:t xml:space="preserve"> </w:t>
      </w:r>
      <w:r w:rsidRPr="00402C33">
        <w:rPr>
          <w:rFonts w:ascii="Arial" w:hAnsi="Arial" w:cs="Arial"/>
          <w:sz w:val="22"/>
          <w:lang w:val="sr-Cyrl-CS"/>
        </w:rPr>
        <w:t xml:space="preserve">планирани су на основу камата из ануитета екстерних кредита.  </w:t>
      </w:r>
    </w:p>
    <w:p w:rsidR="005A77A9" w:rsidRPr="00402C33" w:rsidRDefault="005A77A9" w:rsidP="005A77A9">
      <w:pPr>
        <w:ind w:left="360"/>
        <w:jc w:val="both"/>
        <w:rPr>
          <w:rFonts w:ascii="Arial" w:hAnsi="Arial" w:cs="Arial"/>
          <w:b/>
          <w:sz w:val="22"/>
          <w:lang w:val="sr-Cyrl-CS"/>
        </w:rPr>
      </w:pPr>
    </w:p>
    <w:p w:rsidR="005A77A9" w:rsidRPr="00402C33" w:rsidRDefault="005A77A9" w:rsidP="005A77A9">
      <w:pPr>
        <w:ind w:left="720" w:firstLine="360"/>
        <w:jc w:val="both"/>
        <w:rPr>
          <w:rFonts w:ascii="Arial" w:hAnsi="Arial" w:cs="Arial"/>
          <w:b/>
          <w:sz w:val="22"/>
          <w:szCs w:val="28"/>
          <w:lang w:val="sr-Cyrl-CS"/>
        </w:rPr>
      </w:pPr>
      <w:r w:rsidRPr="00402C33">
        <w:rPr>
          <w:rFonts w:ascii="Arial" w:hAnsi="Arial" w:cs="Arial"/>
          <w:b/>
          <w:sz w:val="22"/>
          <w:szCs w:val="28"/>
          <w:lang w:val="sr-Cyrl-CS"/>
        </w:rPr>
        <w:t>ОСТАЛИ РАСХОДИ</w:t>
      </w:r>
    </w:p>
    <w:p w:rsidR="005A77A9" w:rsidRPr="00D233A6" w:rsidRDefault="005A77A9" w:rsidP="005A77A9">
      <w:pPr>
        <w:ind w:left="720"/>
        <w:jc w:val="both"/>
        <w:rPr>
          <w:rFonts w:ascii="Arial" w:hAnsi="Arial" w:cs="Arial"/>
          <w:sz w:val="22"/>
        </w:rPr>
      </w:pPr>
    </w:p>
    <w:p w:rsidR="005A77A9" w:rsidRPr="00402C33" w:rsidRDefault="003F712B" w:rsidP="005A77A9">
      <w:pPr>
        <w:jc w:val="both"/>
        <w:rPr>
          <w:rFonts w:ascii="Arial" w:hAnsi="Arial" w:cs="Arial"/>
          <w:bCs/>
          <w:iCs/>
          <w:sz w:val="22"/>
          <w:szCs w:val="22"/>
          <w:lang w:val="sr-Cyrl-CS"/>
        </w:rPr>
      </w:pPr>
      <w:r w:rsidRPr="00402C33">
        <w:rPr>
          <w:rFonts w:ascii="Arial" w:hAnsi="Arial" w:cs="Arial"/>
          <w:bCs/>
          <w:iCs/>
          <w:sz w:val="22"/>
          <w:lang w:val="sr-Cyrl-CS"/>
        </w:rPr>
        <w:t>Структура</w:t>
      </w:r>
      <w:r w:rsidR="005A77A9" w:rsidRPr="00402C33">
        <w:rPr>
          <w:rFonts w:ascii="Arial" w:hAnsi="Arial" w:cs="Arial"/>
          <w:bCs/>
          <w:iCs/>
          <w:sz w:val="22"/>
          <w:lang w:val="sr-Cyrl-CS"/>
        </w:rPr>
        <w:t xml:space="preserve"> укупних расхода  за </w:t>
      </w:r>
      <w:r w:rsidR="005A77A9" w:rsidRPr="00402C33">
        <w:rPr>
          <w:rFonts w:ascii="Arial" w:hAnsi="Arial" w:cs="Arial"/>
          <w:bCs/>
          <w:iCs/>
          <w:sz w:val="22"/>
          <w:szCs w:val="22"/>
          <w:lang w:val="sr-Cyrl-CS"/>
        </w:rPr>
        <w:t>20</w:t>
      </w:r>
      <w:r w:rsidR="005A77A9" w:rsidRPr="00402C33">
        <w:rPr>
          <w:rFonts w:ascii="Arial" w:hAnsi="Arial" w:cs="Arial"/>
          <w:bCs/>
          <w:iCs/>
          <w:sz w:val="22"/>
          <w:szCs w:val="22"/>
        </w:rPr>
        <w:t>1</w:t>
      </w:r>
      <w:r w:rsidR="00402C33" w:rsidRPr="00402C33">
        <w:rPr>
          <w:rFonts w:ascii="Arial" w:hAnsi="Arial" w:cs="Arial"/>
          <w:bCs/>
          <w:iCs/>
          <w:sz w:val="22"/>
          <w:szCs w:val="22"/>
          <w:lang w:val="sr-Cyrl-BA"/>
        </w:rPr>
        <w:t>8</w:t>
      </w:r>
      <w:r w:rsidR="005A77A9" w:rsidRPr="00402C33">
        <w:rPr>
          <w:rFonts w:ascii="Arial" w:hAnsi="Arial" w:cs="Arial"/>
          <w:bCs/>
          <w:iCs/>
          <w:sz w:val="22"/>
          <w:szCs w:val="22"/>
          <w:lang w:val="sr-Cyrl-CS"/>
        </w:rPr>
        <w:t>. годину</w:t>
      </w:r>
      <w:r w:rsidR="004F0078" w:rsidRPr="00402C33">
        <w:rPr>
          <w:rFonts w:ascii="Arial" w:hAnsi="Arial" w:cs="Arial"/>
          <w:bCs/>
          <w:iCs/>
          <w:sz w:val="22"/>
          <w:szCs w:val="22"/>
          <w:lang w:val="sr-Cyrl-CS"/>
        </w:rPr>
        <w:t>:</w:t>
      </w:r>
    </w:p>
    <w:p w:rsidR="005A77A9" w:rsidRPr="00C161F7" w:rsidRDefault="005A77A9" w:rsidP="005A77A9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tbl>
      <w:tblPr>
        <w:tblW w:w="9650" w:type="dxa"/>
        <w:tblLook w:val="0000" w:firstRow="0" w:lastRow="0" w:firstColumn="0" w:lastColumn="0" w:noHBand="0" w:noVBand="0"/>
      </w:tblPr>
      <w:tblGrid>
        <w:gridCol w:w="9650"/>
      </w:tblGrid>
      <w:tr w:rsidR="005A77A9" w:rsidRPr="00263980" w:rsidTr="00D233A6">
        <w:trPr>
          <w:trHeight w:val="80"/>
        </w:trPr>
        <w:tc>
          <w:tcPr>
            <w:tcW w:w="9650" w:type="dxa"/>
          </w:tcPr>
          <w:p w:rsidR="005A77A9" w:rsidRPr="00263980" w:rsidRDefault="005A77A9" w:rsidP="00263980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>Трошкови набавке ел</w:t>
            </w:r>
            <w:r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ектричне </w:t>
            </w: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>енергије  ..............................................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CS"/>
              </w:rPr>
              <w:t>.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BA"/>
              </w:rPr>
              <w:t>56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BA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BA"/>
              </w:rPr>
              <w:t>089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BA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BA"/>
              </w:rPr>
              <w:t>74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BA"/>
              </w:rPr>
              <w:t>3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,00 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BA"/>
              </w:rPr>
              <w:t>5</w:t>
            </w:r>
            <w:r w:rsidR="00263980" w:rsidRPr="00263980">
              <w:rPr>
                <w:rFonts w:ascii="Arial" w:hAnsi="Arial" w:cs="Arial"/>
                <w:sz w:val="22"/>
                <w:szCs w:val="20"/>
                <w:lang w:val="sr-Cyrl-BA"/>
              </w:rPr>
              <w:t>6</w:t>
            </w:r>
            <w:r w:rsidR="00F64490" w:rsidRPr="00263980">
              <w:rPr>
                <w:rFonts w:ascii="Arial" w:hAnsi="Arial" w:cs="Arial"/>
                <w:sz w:val="22"/>
                <w:szCs w:val="20"/>
                <w:lang w:val="sr-Cyrl-BA"/>
              </w:rPr>
              <w:t>%</w:t>
            </w:r>
          </w:p>
        </w:tc>
      </w:tr>
      <w:tr w:rsidR="005A77A9" w:rsidRPr="00263980" w:rsidTr="00870F9B">
        <w:trPr>
          <w:trHeight w:val="80"/>
        </w:trPr>
        <w:tc>
          <w:tcPr>
            <w:tcW w:w="9650" w:type="dxa"/>
            <w:tcBorders>
              <w:bottom w:val="single" w:sz="2" w:space="0" w:color="auto"/>
            </w:tcBorders>
          </w:tcPr>
          <w:p w:rsidR="005A77A9" w:rsidRPr="00263980" w:rsidRDefault="005A77A9" w:rsidP="00402C33">
            <w:pPr>
              <w:tabs>
                <w:tab w:val="left" w:pos="1980"/>
              </w:tabs>
              <w:spacing w:before="120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Бруто зараде, накнаде и остала лична примања .................................. </w:t>
            </w:r>
            <w:r w:rsidR="00C751C5" w:rsidRPr="00263980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F64B0C" w:rsidRPr="00263980">
              <w:rPr>
                <w:rFonts w:ascii="Arial" w:hAnsi="Arial" w:cs="Arial"/>
                <w:sz w:val="22"/>
                <w:szCs w:val="20"/>
              </w:rPr>
              <w:t>2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CS"/>
              </w:rPr>
              <w:t>3.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420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CS"/>
              </w:rPr>
              <w:t>.0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04</w:t>
            </w:r>
            <w:r w:rsidR="00F64B0C" w:rsidRPr="00263980">
              <w:rPr>
                <w:rFonts w:ascii="Arial" w:hAnsi="Arial" w:cs="Arial"/>
                <w:sz w:val="22"/>
                <w:szCs w:val="20"/>
                <w:lang w:val="sr-Cyrl-CS"/>
              </w:rPr>
              <w:t>,00</w:t>
            </w:r>
            <w:r w:rsidR="00322696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</w:t>
            </w:r>
            <w:r w:rsidR="00F64490" w:rsidRPr="00263980"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263980" w:rsidRPr="00263980">
              <w:rPr>
                <w:rFonts w:ascii="Arial" w:hAnsi="Arial" w:cs="Arial"/>
                <w:sz w:val="22"/>
                <w:szCs w:val="20"/>
                <w:lang w:val="sr-Cyrl-RS"/>
              </w:rPr>
              <w:t>3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263980" w:rsidTr="00870F9B">
        <w:trPr>
          <w:trHeight w:val="220"/>
        </w:trPr>
        <w:tc>
          <w:tcPr>
            <w:tcW w:w="9650" w:type="dxa"/>
            <w:tcBorders>
              <w:top w:val="single" w:sz="2" w:space="0" w:color="auto"/>
            </w:tcBorders>
          </w:tcPr>
          <w:p w:rsidR="005A77A9" w:rsidRPr="00263980" w:rsidRDefault="005A77A9" w:rsidP="00402C33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материјала, горива и енергије ...............................................     </w:t>
            </w:r>
            <w:r w:rsidRPr="00263980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791AD4" w:rsidRPr="00263980">
              <w:rPr>
                <w:rFonts w:ascii="Arial" w:hAnsi="Arial" w:cs="Arial"/>
                <w:sz w:val="22"/>
                <w:szCs w:val="20"/>
              </w:rPr>
              <w:t>2.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110</w:t>
            </w:r>
            <w:r w:rsidR="00791AD4" w:rsidRPr="00263980">
              <w:rPr>
                <w:rFonts w:ascii="Arial" w:hAnsi="Arial" w:cs="Arial"/>
                <w:sz w:val="22"/>
                <w:szCs w:val="20"/>
                <w:lang w:val="sr-Cyrl-CS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000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F64490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2%</w:t>
            </w:r>
          </w:p>
        </w:tc>
      </w:tr>
      <w:tr w:rsidR="005A77A9" w:rsidRPr="00263980" w:rsidTr="00D20A18">
        <w:trPr>
          <w:trHeight w:val="252"/>
        </w:trPr>
        <w:tc>
          <w:tcPr>
            <w:tcW w:w="9650" w:type="dxa"/>
          </w:tcPr>
          <w:p w:rsidR="005A77A9" w:rsidRPr="00263980" w:rsidRDefault="005A77A9" w:rsidP="00402C33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Трошкови производних услуга ...............................................................     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 </w:t>
            </w:r>
            <w:r w:rsidR="00C751C5" w:rsidRPr="00263980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215A6E" w:rsidRPr="00263980">
              <w:rPr>
                <w:rFonts w:ascii="Arial" w:hAnsi="Arial" w:cs="Arial"/>
                <w:sz w:val="22"/>
                <w:szCs w:val="20"/>
                <w:lang w:val="sr-Cyrl-RS"/>
              </w:rPr>
              <w:t>1.6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00</w:t>
            </w:r>
            <w:r w:rsidR="00215A6E" w:rsidRPr="00263980">
              <w:rPr>
                <w:rFonts w:ascii="Arial" w:hAnsi="Arial" w:cs="Arial"/>
                <w:sz w:val="22"/>
                <w:szCs w:val="20"/>
                <w:lang w:val="sr-Cyrl-RS"/>
              </w:rPr>
              <w:t>.0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00</w:t>
            </w:r>
            <w:r w:rsidR="00215A6E" w:rsidRPr="00263980">
              <w:rPr>
                <w:rFonts w:ascii="Arial" w:hAnsi="Arial" w:cs="Arial"/>
                <w:sz w:val="22"/>
                <w:szCs w:val="20"/>
                <w:lang w:val="sr-Cyrl-RS"/>
              </w:rPr>
              <w:t>,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>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</w:t>
            </w:r>
            <w:r w:rsidR="00F64490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2%</w:t>
            </w:r>
          </w:p>
        </w:tc>
      </w:tr>
      <w:tr w:rsidR="005A77A9" w:rsidRPr="00263980" w:rsidTr="004F0078">
        <w:trPr>
          <w:trHeight w:val="299"/>
        </w:trPr>
        <w:tc>
          <w:tcPr>
            <w:tcW w:w="9650" w:type="dxa"/>
          </w:tcPr>
          <w:p w:rsidR="005A77A9" w:rsidRPr="00263980" w:rsidRDefault="005A77A9" w:rsidP="00402C33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>Амортизација и резервисања .....................................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............................   </w:t>
            </w:r>
            <w:r w:rsidR="00C751C5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RS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496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RS"/>
              </w:rPr>
              <w:t>.0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19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>,00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F64490" w:rsidRPr="00263980">
              <w:rPr>
                <w:rFonts w:ascii="Arial" w:hAnsi="Arial" w:cs="Arial"/>
                <w:sz w:val="22"/>
                <w:szCs w:val="20"/>
                <w:lang w:val="sr-Cyrl-RS"/>
              </w:rPr>
              <w:t>3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263980" w:rsidTr="004F0078">
        <w:trPr>
          <w:trHeight w:val="299"/>
        </w:trPr>
        <w:tc>
          <w:tcPr>
            <w:tcW w:w="9650" w:type="dxa"/>
          </w:tcPr>
          <w:p w:rsidR="005A77A9" w:rsidRPr="00263980" w:rsidRDefault="005A77A9" w:rsidP="00402C33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>Нематеријални трошкови</w:t>
            </w:r>
            <w:r w:rsidRPr="00263980">
              <w:rPr>
                <w:rFonts w:ascii="Arial" w:hAnsi="Arial" w:cs="Arial"/>
                <w:sz w:val="22"/>
                <w:szCs w:val="20"/>
              </w:rPr>
              <w:t xml:space="preserve"> са порезима и доприносима</w:t>
            </w: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    </w:t>
            </w:r>
            <w:r w:rsidRPr="00263980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 xml:space="preserve">     </w:t>
            </w:r>
            <w:r w:rsidR="00AB0FB2" w:rsidRPr="00263980">
              <w:rPr>
                <w:rFonts w:ascii="Arial" w:hAnsi="Arial" w:cs="Arial"/>
                <w:sz w:val="22"/>
                <w:szCs w:val="20"/>
                <w:lang w:val="sr-Cyrl-RS"/>
              </w:rPr>
              <w:t>2.1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84</w:t>
            </w:r>
            <w:r w:rsidR="00AB0FB2" w:rsidRPr="00263980">
              <w:rPr>
                <w:rFonts w:ascii="Arial" w:hAnsi="Arial" w:cs="Arial"/>
                <w:sz w:val="22"/>
                <w:szCs w:val="20"/>
                <w:lang w:val="sr-Cyrl-RS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8</w:t>
            </w:r>
            <w:r w:rsidR="00AB0FB2" w:rsidRPr="00263980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RS"/>
              </w:rPr>
              <w:t>8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RS"/>
              </w:rPr>
              <w:t>,00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</w:t>
            </w:r>
            <w:r w:rsidR="00AB0FB2" w:rsidRPr="00263980">
              <w:rPr>
                <w:rFonts w:ascii="Arial" w:hAnsi="Arial" w:cs="Arial"/>
                <w:sz w:val="22"/>
                <w:szCs w:val="20"/>
                <w:lang w:val="sr-Cyrl-RS"/>
              </w:rPr>
              <w:t>2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263980" w:rsidTr="004F0078">
        <w:trPr>
          <w:trHeight w:val="299"/>
        </w:trPr>
        <w:tc>
          <w:tcPr>
            <w:tcW w:w="9650" w:type="dxa"/>
          </w:tcPr>
          <w:p w:rsidR="005A77A9" w:rsidRPr="00263980" w:rsidRDefault="005A77A9" w:rsidP="00402C33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C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Финансијски расходи................................................................................      </w:t>
            </w:r>
            <w:r w:rsidRPr="00263980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9</w:t>
            </w:r>
            <w:r w:rsidR="003D5328" w:rsidRPr="00263980">
              <w:rPr>
                <w:rFonts w:ascii="Arial" w:hAnsi="Arial" w:cs="Arial"/>
                <w:sz w:val="22"/>
                <w:szCs w:val="20"/>
                <w:lang w:val="sr-Cyrl-CS"/>
              </w:rPr>
              <w:t>00.00</w:t>
            </w:r>
            <w:r w:rsidR="00AB0FB2" w:rsidRPr="00263980">
              <w:rPr>
                <w:rFonts w:ascii="Arial" w:hAnsi="Arial" w:cs="Arial"/>
                <w:sz w:val="22"/>
                <w:szCs w:val="20"/>
                <w:lang w:val="sr-Cyrl-CS"/>
              </w:rPr>
              <w:t>0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  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  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CS"/>
              </w:rPr>
              <w:t>1%</w:t>
            </w:r>
          </w:p>
        </w:tc>
      </w:tr>
      <w:tr w:rsidR="005A77A9" w:rsidRPr="00263980" w:rsidTr="00870F9B">
        <w:trPr>
          <w:trHeight w:val="288"/>
        </w:trPr>
        <w:tc>
          <w:tcPr>
            <w:tcW w:w="9650" w:type="dxa"/>
          </w:tcPr>
          <w:p w:rsidR="005A77A9" w:rsidRPr="00263980" w:rsidRDefault="005A77A9" w:rsidP="00263980">
            <w:pPr>
              <w:pBdr>
                <w:bottom w:val="single" w:sz="2" w:space="1" w:color="auto"/>
              </w:pBdr>
              <w:spacing w:before="120"/>
              <w:jc w:val="both"/>
              <w:rPr>
                <w:rFonts w:ascii="Arial" w:hAnsi="Arial" w:cs="Arial"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sz w:val="22"/>
                <w:szCs w:val="20"/>
                <w:lang w:val="sr-Cyrl-CS"/>
              </w:rPr>
              <w:t>Остали расходи ............................................................</w:t>
            </w:r>
            <w:r w:rsidR="0029728A" w:rsidRPr="00263980">
              <w:rPr>
                <w:rFonts w:ascii="Arial" w:hAnsi="Arial" w:cs="Arial"/>
                <w:sz w:val="22"/>
                <w:szCs w:val="20"/>
                <w:lang w:val="sr-Cyrl-CS"/>
              </w:rPr>
              <w:t xml:space="preserve">.............................  </w:t>
            </w:r>
            <w:r w:rsidRPr="00263980">
              <w:rPr>
                <w:rFonts w:ascii="Arial" w:hAnsi="Arial" w:cs="Arial"/>
                <w:sz w:val="22"/>
                <w:szCs w:val="20"/>
              </w:rPr>
              <w:t xml:space="preserve">  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1</w:t>
            </w:r>
            <w:r w:rsidR="00322696" w:rsidRPr="00263980">
              <w:rPr>
                <w:rFonts w:ascii="Arial" w:hAnsi="Arial" w:cs="Arial"/>
                <w:sz w:val="22"/>
                <w:szCs w:val="20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141</w:t>
            </w:r>
            <w:r w:rsidR="00AB0FB2" w:rsidRPr="00263980">
              <w:rPr>
                <w:rFonts w:ascii="Arial" w:hAnsi="Arial" w:cs="Arial"/>
                <w:sz w:val="22"/>
                <w:szCs w:val="20"/>
              </w:rPr>
              <w:t>.</w:t>
            </w:r>
            <w:r w:rsidR="00402C33" w:rsidRPr="00263980">
              <w:rPr>
                <w:rFonts w:ascii="Arial" w:hAnsi="Arial" w:cs="Arial"/>
                <w:sz w:val="22"/>
                <w:szCs w:val="20"/>
                <w:lang w:val="sr-Cyrl-CS"/>
              </w:rPr>
              <w:t>280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BA"/>
              </w:rPr>
              <w:t>,00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    </w:t>
            </w:r>
            <w:r w:rsidR="004F0078" w:rsidRPr="00263980">
              <w:rPr>
                <w:rFonts w:ascii="Arial" w:hAnsi="Arial" w:cs="Arial"/>
                <w:sz w:val="22"/>
                <w:szCs w:val="20"/>
                <w:lang w:val="sr-Cyrl-RS"/>
              </w:rPr>
              <w:t xml:space="preserve"> </w:t>
            </w:r>
            <w:r w:rsidR="00263980" w:rsidRPr="00263980">
              <w:rPr>
                <w:rFonts w:ascii="Arial" w:hAnsi="Arial" w:cs="Arial"/>
                <w:sz w:val="22"/>
                <w:szCs w:val="20"/>
                <w:lang w:val="sr-Cyrl-RS"/>
              </w:rPr>
              <w:t>1</w:t>
            </w:r>
            <w:r w:rsidR="003E4314" w:rsidRPr="00263980">
              <w:rPr>
                <w:rFonts w:ascii="Arial" w:hAnsi="Arial" w:cs="Arial"/>
                <w:sz w:val="22"/>
                <w:szCs w:val="20"/>
                <w:lang w:val="sr-Cyrl-RS"/>
              </w:rPr>
              <w:t>%</w:t>
            </w:r>
          </w:p>
        </w:tc>
      </w:tr>
      <w:tr w:rsidR="005A77A9" w:rsidRPr="00263980" w:rsidTr="00D233A6">
        <w:trPr>
          <w:trHeight w:val="80"/>
        </w:trPr>
        <w:tc>
          <w:tcPr>
            <w:tcW w:w="9650" w:type="dxa"/>
            <w:vAlign w:val="bottom"/>
          </w:tcPr>
          <w:p w:rsidR="003D5328" w:rsidRPr="00263980" w:rsidRDefault="003D5328" w:rsidP="00402C33">
            <w:pPr>
              <w:pBdr>
                <w:bottom w:val="single" w:sz="2" w:space="1" w:color="auto"/>
              </w:pBdr>
              <w:spacing w:before="120"/>
              <w:rPr>
                <w:rFonts w:ascii="Arial" w:hAnsi="Arial" w:cs="Arial"/>
                <w:bCs/>
                <w:sz w:val="22"/>
                <w:szCs w:val="20"/>
                <w:lang w:val="sr-Cyrl-CS"/>
              </w:rPr>
            </w:pPr>
            <w:r w:rsidRPr="00263980">
              <w:rPr>
                <w:rFonts w:ascii="Arial" w:hAnsi="Arial" w:cs="Arial"/>
                <w:bCs/>
                <w:sz w:val="22"/>
                <w:szCs w:val="20"/>
                <w:lang w:val="sr-Cyrl-CS"/>
              </w:rPr>
              <w:t>Расходи по основу промјене рачуноводствених политика ....................                40,00</w:t>
            </w:r>
            <w:r w:rsidR="00263980" w:rsidRPr="00263980">
              <w:rPr>
                <w:rFonts w:ascii="Arial" w:hAnsi="Arial" w:cs="Arial"/>
                <w:bCs/>
                <w:sz w:val="22"/>
                <w:szCs w:val="20"/>
                <w:lang w:val="sr-Cyrl-CS"/>
              </w:rPr>
              <w:t xml:space="preserve">      0 %</w:t>
            </w:r>
          </w:p>
        </w:tc>
      </w:tr>
      <w:tr w:rsidR="003D5328" w:rsidRPr="00263980" w:rsidTr="00D233A6">
        <w:trPr>
          <w:trHeight w:val="80"/>
        </w:trPr>
        <w:tc>
          <w:tcPr>
            <w:tcW w:w="9650" w:type="dxa"/>
            <w:vAlign w:val="bottom"/>
          </w:tcPr>
          <w:p w:rsidR="003D5328" w:rsidRPr="00263980" w:rsidRDefault="003D5328" w:rsidP="0084248D">
            <w:pPr>
              <w:pBdr>
                <w:bottom w:val="single" w:sz="2" w:space="1" w:color="auto"/>
              </w:pBdr>
              <w:spacing w:before="120"/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</w:pPr>
            <w:r w:rsidRPr="00263980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 xml:space="preserve">УКУПНИ РАСХОДИ: ..............................................................................  </w:t>
            </w:r>
            <w:r w:rsidRPr="00263980">
              <w:rPr>
                <w:rFonts w:ascii="Arial" w:hAnsi="Arial" w:cs="Arial"/>
                <w:b/>
                <w:bCs/>
                <w:sz w:val="22"/>
                <w:szCs w:val="20"/>
              </w:rPr>
              <w:t xml:space="preserve"> </w:t>
            </w:r>
            <w:r w:rsidRPr="00263980"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  <w:t>99.941.904</w:t>
            </w:r>
            <w:r w:rsidRPr="00263980">
              <w:rPr>
                <w:rFonts w:ascii="Arial" w:hAnsi="Arial" w:cs="Arial"/>
                <w:b/>
                <w:bCs/>
                <w:sz w:val="22"/>
                <w:szCs w:val="20"/>
                <w:lang w:val="sr-Cyrl-BA"/>
              </w:rPr>
              <w:t>,00</w:t>
            </w:r>
            <w:r w:rsidRPr="00263980">
              <w:rPr>
                <w:rFonts w:ascii="Arial" w:hAnsi="Arial" w:cs="Arial"/>
                <w:b/>
                <w:bCs/>
                <w:sz w:val="22"/>
                <w:szCs w:val="20"/>
                <w:lang w:val="sr-Cyrl-RS"/>
              </w:rPr>
              <w:t xml:space="preserve">   100%</w:t>
            </w:r>
          </w:p>
        </w:tc>
      </w:tr>
      <w:tr w:rsidR="003D5328" w:rsidRPr="00263980" w:rsidTr="00870F9B">
        <w:trPr>
          <w:trHeight w:val="297"/>
        </w:trPr>
        <w:tc>
          <w:tcPr>
            <w:tcW w:w="9650" w:type="dxa"/>
            <w:tcBorders>
              <w:bottom w:val="single" w:sz="2" w:space="0" w:color="auto"/>
            </w:tcBorders>
            <w:vAlign w:val="bottom"/>
          </w:tcPr>
          <w:p w:rsidR="003D5328" w:rsidRPr="00263980" w:rsidRDefault="003D5328" w:rsidP="00402C33">
            <w:pPr>
              <w:pBdr>
                <w:bottom w:val="single" w:sz="2" w:space="1" w:color="auto"/>
              </w:pBdr>
              <w:spacing w:before="120"/>
              <w:rPr>
                <w:rFonts w:ascii="Arial" w:hAnsi="Arial" w:cs="Arial"/>
                <w:b/>
                <w:bCs/>
                <w:sz w:val="22"/>
                <w:szCs w:val="20"/>
                <w:lang w:val="sr-Cyrl-CS"/>
              </w:rPr>
            </w:pPr>
          </w:p>
        </w:tc>
      </w:tr>
    </w:tbl>
    <w:p w:rsidR="005A77A9" w:rsidRPr="00263980" w:rsidRDefault="005A77A9" w:rsidP="005A77A9">
      <w:pPr>
        <w:rPr>
          <w:rFonts w:ascii="Arial" w:hAnsi="Arial" w:cs="Arial"/>
          <w:sz w:val="22"/>
        </w:rPr>
      </w:pPr>
    </w:p>
    <w:p w:rsidR="003E4314" w:rsidRPr="00263980" w:rsidRDefault="00AA6D7F" w:rsidP="00AA6D7F">
      <w:pPr>
        <w:pStyle w:val="Caption"/>
        <w:rPr>
          <w:rFonts w:ascii="Arial" w:hAnsi="Arial" w:cs="Arial"/>
          <w:b w:val="0"/>
          <w:i/>
          <w:sz w:val="22"/>
          <w:lang w:val="sr-Cyrl-RS"/>
        </w:rPr>
      </w:pPr>
      <w:bookmarkStart w:id="47" w:name="_Toc500767364"/>
      <w:r w:rsidRPr="00263980">
        <w:rPr>
          <w:rFonts w:ascii="Arial" w:hAnsi="Arial" w:cs="Arial"/>
          <w:b w:val="0"/>
        </w:rPr>
        <w:t xml:space="preserve">Графикон  </w:t>
      </w:r>
      <w:r w:rsidRPr="00263980">
        <w:rPr>
          <w:rFonts w:ascii="Arial" w:hAnsi="Arial" w:cs="Arial"/>
          <w:b w:val="0"/>
        </w:rPr>
        <w:fldChar w:fldCharType="begin"/>
      </w:r>
      <w:r w:rsidRPr="00263980">
        <w:rPr>
          <w:rFonts w:ascii="Arial" w:hAnsi="Arial" w:cs="Arial"/>
          <w:b w:val="0"/>
        </w:rPr>
        <w:instrText xml:space="preserve"> SEQ Графикон_ \* ARABIC </w:instrText>
      </w:r>
      <w:r w:rsidRPr="00263980">
        <w:rPr>
          <w:rFonts w:ascii="Arial" w:hAnsi="Arial" w:cs="Arial"/>
          <w:b w:val="0"/>
        </w:rPr>
        <w:fldChar w:fldCharType="separate"/>
      </w:r>
      <w:r w:rsidR="00322822" w:rsidRPr="00263980">
        <w:rPr>
          <w:rFonts w:ascii="Arial" w:hAnsi="Arial" w:cs="Arial"/>
          <w:b w:val="0"/>
          <w:noProof/>
        </w:rPr>
        <w:t>3</w:t>
      </w:r>
      <w:r w:rsidRPr="00263980">
        <w:rPr>
          <w:rFonts w:ascii="Arial" w:hAnsi="Arial" w:cs="Arial"/>
          <w:b w:val="0"/>
        </w:rPr>
        <w:fldChar w:fldCharType="end"/>
      </w:r>
      <w:r w:rsidRPr="00263980">
        <w:rPr>
          <w:rFonts w:ascii="Arial" w:hAnsi="Arial" w:cs="Arial"/>
          <w:b w:val="0"/>
          <w:lang w:val="sr-Cyrl-CS"/>
        </w:rPr>
        <w:t xml:space="preserve"> Структура укупних расхода</w:t>
      </w:r>
      <w:bookmarkEnd w:id="47"/>
    </w:p>
    <w:p w:rsidR="005A77A9" w:rsidRPr="00D233A6" w:rsidRDefault="004F0078" w:rsidP="005A77A9">
      <w:pPr>
        <w:rPr>
          <w:rFonts w:ascii="Arial" w:hAnsi="Arial" w:cs="Arial"/>
          <w:sz w:val="22"/>
        </w:rPr>
      </w:pPr>
      <w:r w:rsidRPr="00D233A6">
        <w:rPr>
          <w:rFonts w:ascii="Arial" w:hAnsi="Arial" w:cs="Arial"/>
          <w:noProof/>
          <w:sz w:val="22"/>
        </w:rPr>
        <w:drawing>
          <wp:inline distT="0" distB="0" distL="0" distR="0" wp14:anchorId="1E7A7D40" wp14:editId="5C23D345">
            <wp:extent cx="5924550" cy="313372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A77A9" w:rsidRPr="00830172" w:rsidRDefault="005A77A9" w:rsidP="00611B3A">
      <w:pPr>
        <w:pStyle w:val="Heading1"/>
        <w:rPr>
          <w:rFonts w:ascii="Arial" w:hAnsi="Arial" w:cs="Arial"/>
          <w:sz w:val="24"/>
          <w:szCs w:val="22"/>
        </w:rPr>
      </w:pPr>
      <w:r w:rsidRPr="00C161F7">
        <w:rPr>
          <w:highlight w:val="yellow"/>
        </w:rPr>
        <w:br w:type="page"/>
      </w:r>
      <w:bookmarkStart w:id="48" w:name="_Toc481062261"/>
      <w:bookmarkStart w:id="49" w:name="_Toc500762424"/>
      <w:r w:rsidR="0093360C" w:rsidRPr="00830172">
        <w:rPr>
          <w:rFonts w:ascii="Arial" w:hAnsi="Arial" w:cs="Arial"/>
          <w:sz w:val="24"/>
          <w:szCs w:val="22"/>
        </w:rPr>
        <w:lastRenderedPageBreak/>
        <w:t>РЕБАЛАНС</w:t>
      </w:r>
      <w:r w:rsidRPr="00830172">
        <w:rPr>
          <w:rFonts w:ascii="Arial" w:hAnsi="Arial" w:cs="Arial"/>
          <w:sz w:val="24"/>
          <w:szCs w:val="22"/>
        </w:rPr>
        <w:t xml:space="preserve"> БИЛАНС</w:t>
      </w:r>
      <w:r w:rsidR="0093360C" w:rsidRPr="00830172">
        <w:rPr>
          <w:rFonts w:ascii="Arial" w:hAnsi="Arial" w:cs="Arial"/>
          <w:sz w:val="24"/>
          <w:szCs w:val="22"/>
        </w:rPr>
        <w:t>А</w:t>
      </w:r>
      <w:r w:rsidRPr="00830172">
        <w:rPr>
          <w:rFonts w:ascii="Arial" w:hAnsi="Arial" w:cs="Arial"/>
          <w:sz w:val="24"/>
          <w:szCs w:val="22"/>
        </w:rPr>
        <w:t xml:space="preserve"> СТАЊА ПРЕДУЗЕЋА за 201</w:t>
      </w:r>
      <w:r w:rsidR="00830172" w:rsidRPr="00830172">
        <w:rPr>
          <w:rFonts w:ascii="Arial" w:hAnsi="Arial" w:cs="Arial"/>
          <w:sz w:val="24"/>
          <w:szCs w:val="22"/>
        </w:rPr>
        <w:t>8</w:t>
      </w:r>
      <w:r w:rsidRPr="00830172">
        <w:rPr>
          <w:rFonts w:ascii="Arial" w:hAnsi="Arial" w:cs="Arial"/>
          <w:sz w:val="24"/>
          <w:szCs w:val="22"/>
        </w:rPr>
        <w:t>. годину</w:t>
      </w:r>
      <w:bookmarkEnd w:id="48"/>
      <w:bookmarkEnd w:id="49"/>
    </w:p>
    <w:p w:rsidR="005A77A9" w:rsidRPr="00830172" w:rsidRDefault="00AD2100" w:rsidP="005A77A9">
      <w:pPr>
        <w:rPr>
          <w:rFonts w:ascii="Arial" w:hAnsi="Arial" w:cs="Arial"/>
          <w:b/>
          <w:sz w:val="22"/>
          <w:szCs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7" style="width:482.45pt;height:.25pt" o:hrpct="980" o:hrstd="t" o:hr="t" fillcolor="gray" stroked="f"/>
        </w:pict>
      </w:r>
    </w:p>
    <w:p w:rsidR="005A77A9" w:rsidRPr="00830172" w:rsidRDefault="005A77A9" w:rsidP="005A77A9">
      <w:pPr>
        <w:rPr>
          <w:rFonts w:ascii="Arial" w:hAnsi="Arial" w:cs="Arial"/>
          <w:b/>
          <w:sz w:val="22"/>
          <w:szCs w:val="28"/>
          <w:lang w:val="sr-Cyrl-CS"/>
        </w:rPr>
      </w:pPr>
    </w:p>
    <w:p w:rsidR="005A77A9" w:rsidRPr="00830172" w:rsidRDefault="0093360C" w:rsidP="00BE72F3">
      <w:pPr>
        <w:pStyle w:val="Heading2"/>
        <w:numPr>
          <w:ilvl w:val="0"/>
          <w:numId w:val="28"/>
        </w:numPr>
        <w:jc w:val="both"/>
        <w:rPr>
          <w:rFonts w:ascii="Arial" w:hAnsi="Arial" w:cs="Arial"/>
          <w:sz w:val="22"/>
          <w:u w:val="single"/>
        </w:rPr>
      </w:pPr>
      <w:bookmarkStart w:id="50" w:name="_Toc481062262"/>
      <w:bookmarkStart w:id="51" w:name="_Toc500762425"/>
      <w:r w:rsidRPr="00830172">
        <w:rPr>
          <w:rFonts w:ascii="Arial" w:hAnsi="Arial" w:cs="Arial"/>
          <w:sz w:val="22"/>
          <w:u w:val="single"/>
          <w:lang w:val="sr-Cyrl-BA"/>
        </w:rPr>
        <w:t>Ребаланс биланса стања</w:t>
      </w:r>
      <w:r w:rsidR="0067013E" w:rsidRPr="00830172">
        <w:rPr>
          <w:rFonts w:ascii="Arial" w:hAnsi="Arial" w:cs="Arial"/>
          <w:sz w:val="22"/>
          <w:u w:val="single"/>
          <w:lang w:val="sr-Cyrl-BA"/>
        </w:rPr>
        <w:t xml:space="preserve"> а</w:t>
      </w:r>
      <w:r w:rsidRPr="00830172">
        <w:rPr>
          <w:rFonts w:ascii="Arial" w:hAnsi="Arial" w:cs="Arial"/>
          <w:sz w:val="22"/>
          <w:u w:val="single"/>
        </w:rPr>
        <w:t>ктива</w:t>
      </w:r>
      <w:r w:rsidR="005A77A9" w:rsidRPr="00830172">
        <w:rPr>
          <w:rFonts w:ascii="Arial" w:hAnsi="Arial" w:cs="Arial"/>
          <w:sz w:val="22"/>
          <w:u w:val="single"/>
        </w:rPr>
        <w:t xml:space="preserve"> за 201</w:t>
      </w:r>
      <w:r w:rsidR="00830172" w:rsidRPr="00830172">
        <w:rPr>
          <w:rFonts w:ascii="Arial" w:hAnsi="Arial" w:cs="Arial"/>
          <w:sz w:val="22"/>
          <w:u w:val="single"/>
          <w:lang w:val="sr-Cyrl-BA"/>
        </w:rPr>
        <w:t>8</w:t>
      </w:r>
      <w:r w:rsidR="005A77A9" w:rsidRPr="00830172">
        <w:rPr>
          <w:rFonts w:ascii="Arial" w:hAnsi="Arial" w:cs="Arial"/>
          <w:sz w:val="22"/>
          <w:u w:val="single"/>
        </w:rPr>
        <w:t>. годину</w:t>
      </w:r>
      <w:bookmarkEnd w:id="50"/>
      <w:bookmarkEnd w:id="51"/>
    </w:p>
    <w:p w:rsidR="0067013E" w:rsidRPr="00830172" w:rsidRDefault="0067013E" w:rsidP="0067013E">
      <w:pPr>
        <w:rPr>
          <w:lang w:val="sr-Cyrl-CS"/>
        </w:rPr>
      </w:pPr>
    </w:p>
    <w:p w:rsidR="00F2066C" w:rsidRPr="00830172" w:rsidRDefault="00AA6D7F" w:rsidP="00AA6D7F">
      <w:pPr>
        <w:pStyle w:val="Caption"/>
        <w:rPr>
          <w:rFonts w:ascii="Arial" w:hAnsi="Arial" w:cs="Arial"/>
          <w:b w:val="0"/>
          <w:lang w:val="sr-Cyrl-BA"/>
        </w:rPr>
      </w:pPr>
      <w:bookmarkStart w:id="52" w:name="_Toc500767357"/>
      <w:r w:rsidRPr="00830172">
        <w:rPr>
          <w:rFonts w:ascii="Arial" w:hAnsi="Arial" w:cs="Arial"/>
          <w:b w:val="0"/>
        </w:rPr>
        <w:t xml:space="preserve">Табела </w:t>
      </w:r>
      <w:r w:rsidRPr="00830172">
        <w:rPr>
          <w:rFonts w:ascii="Arial" w:hAnsi="Arial" w:cs="Arial"/>
          <w:b w:val="0"/>
        </w:rPr>
        <w:fldChar w:fldCharType="begin"/>
      </w:r>
      <w:r w:rsidRPr="00830172">
        <w:rPr>
          <w:rFonts w:ascii="Arial" w:hAnsi="Arial" w:cs="Arial"/>
          <w:b w:val="0"/>
        </w:rPr>
        <w:instrText xml:space="preserve"> SEQ Табела \* ARABIC </w:instrText>
      </w:r>
      <w:r w:rsidRPr="00830172">
        <w:rPr>
          <w:rFonts w:ascii="Arial" w:hAnsi="Arial" w:cs="Arial"/>
          <w:b w:val="0"/>
        </w:rPr>
        <w:fldChar w:fldCharType="separate"/>
      </w:r>
      <w:r w:rsidR="00322822" w:rsidRPr="00830172">
        <w:rPr>
          <w:rFonts w:ascii="Arial" w:hAnsi="Arial" w:cs="Arial"/>
          <w:b w:val="0"/>
          <w:noProof/>
        </w:rPr>
        <w:t>8</w:t>
      </w:r>
      <w:r w:rsidRPr="00830172">
        <w:rPr>
          <w:rFonts w:ascii="Arial" w:hAnsi="Arial" w:cs="Arial"/>
          <w:b w:val="0"/>
        </w:rPr>
        <w:fldChar w:fldCharType="end"/>
      </w:r>
      <w:r w:rsidRPr="00830172">
        <w:rPr>
          <w:rFonts w:ascii="Arial" w:hAnsi="Arial" w:cs="Arial"/>
          <w:b w:val="0"/>
          <w:lang w:val="sr-Cyrl-BA"/>
        </w:rPr>
        <w:t xml:space="preserve"> Ребаланс биланса стања – АКТИВА</w:t>
      </w:r>
      <w:bookmarkEnd w:id="52"/>
    </w:p>
    <w:tbl>
      <w:tblPr>
        <w:tblW w:w="1125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860"/>
        <w:gridCol w:w="1620"/>
        <w:gridCol w:w="1440"/>
        <w:gridCol w:w="1350"/>
        <w:gridCol w:w="1080"/>
        <w:gridCol w:w="900"/>
      </w:tblGrid>
      <w:tr w:rsidR="004E3518" w:rsidRPr="004E3518" w:rsidTr="00A16CC7">
        <w:trPr>
          <w:trHeight w:val="682"/>
        </w:trPr>
        <w:tc>
          <w:tcPr>
            <w:tcW w:w="4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 Р Е Д С Т В А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РЕБАЛАНС 2018.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ПЛАН 2018.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 дан 31.12.2017.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Индекс   2/3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Индекс   2/4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4E3518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4E3518" w:rsidRPr="004E3518" w:rsidTr="00D233A6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НЕУПЛАЋЕНИ УПИСАНИ КАПИТАЛ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4E3518" w:rsidRPr="004E3518" w:rsidTr="00A16CC7">
        <w:trPr>
          <w:trHeight w:val="1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Б. СТАЛНА ИМОВИНА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244.991.851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242.785.647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246.720.368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A16CC7" w:rsidRPr="004E3518" w:rsidTr="00A16CC7">
        <w:trPr>
          <w:trHeight w:val="18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 НЕМАТЕРИЈАЛНА УЛАГАЊА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3.550.000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3.131.000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3.230.934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</w:tr>
      <w:tr w:rsidR="00A16CC7" w:rsidRPr="004E3518" w:rsidTr="00A16CC7">
        <w:trPr>
          <w:trHeight w:val="20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 Улагања у истраживање и развој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61.000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61.077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A16CC7" w:rsidRPr="004E3518" w:rsidTr="00A16CC7">
        <w:trPr>
          <w:trHeight w:val="223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 Концесије, патенти, лиценце и сл. права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520.000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520.567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96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3. Друга нематеријална улагања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795.000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871.837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4. Аванси и нематеријална улагања у припреми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2.200.000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1.700.000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1.777.453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124</w:t>
            </w:r>
          </w:p>
        </w:tc>
      </w:tr>
      <w:tr w:rsidR="00A16CC7" w:rsidRPr="004E3518" w:rsidTr="00A16CC7">
        <w:trPr>
          <w:trHeight w:val="36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 НЕКРЕТНИНЕ, ПОСТРОЈЕЊА, ОПРЕМА И ИНВЕСТИЦИОНЕ НЕКРЕТНИНЕ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236.940.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Cyrl-CS"/>
              </w:rPr>
              <w:t>00</w:t>
            </w: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236.795.000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241.136.854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A16CC7" w:rsidRPr="004E3518" w:rsidTr="00A16CC7">
        <w:trPr>
          <w:trHeight w:val="223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 Земљишта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2.040.000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2.025.000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2.034.539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A16CC7" w:rsidRPr="004E3518" w:rsidTr="00A16CC7">
        <w:trPr>
          <w:trHeight w:val="27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 Грађевински објекти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75.000.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0</w:t>
            </w: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75.000.000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76.750.019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A16CC7" w:rsidRPr="004E3518" w:rsidTr="00A16CC7">
        <w:trPr>
          <w:trHeight w:val="31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3. Постројења и опрема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156.000.0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157.170.000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160.100.273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A16CC7" w:rsidRPr="004E3518" w:rsidTr="00DC1D1C">
        <w:trPr>
          <w:trHeight w:val="412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4. Аванси и некретнине, постројења, опрема и инвестиционе некретнине у припреми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3.900.000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2.600.000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2.252.023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173</w:t>
            </w:r>
          </w:p>
        </w:tc>
      </w:tr>
      <w:tr w:rsidR="00A16CC7" w:rsidRPr="004E3518" w:rsidTr="00DC1D1C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III СРЕДСТВА КУЛТУРЕ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14.647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16CC7" w:rsidRPr="004E3518" w:rsidTr="00A16CC7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IV ДУГОРОЧНИ ФИНАНСИЈСКИ ПЛАСМАНИ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2.980.000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830.728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</w:tr>
      <w:tr w:rsidR="00A16CC7" w:rsidRPr="004E3518" w:rsidTr="00A16CC7">
        <w:trPr>
          <w:trHeight w:val="268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 Дугорочни кредити у земљи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2.980.000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830.728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359</w:t>
            </w:r>
          </w:p>
        </w:tc>
      </w:tr>
      <w:tr w:rsidR="00A16CC7" w:rsidRPr="004E3518" w:rsidTr="00DC1D1C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IV ОДЛОЖЕНА ПОРЕСКА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1.507.204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995.000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1.507.204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4E3518" w:rsidRPr="004E3518" w:rsidTr="00A16CC7">
        <w:trPr>
          <w:trHeight w:val="295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В. ОБРТНА ИМОВИНА ( I+II+III)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30.147.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Cyrl-C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26.052.000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31.956.806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 ЗАЛИХЕ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5.480.000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5.020.000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4.627.416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</w:tr>
      <w:tr w:rsidR="00A16CC7" w:rsidRPr="004E3518" w:rsidTr="00A16CC7">
        <w:trPr>
          <w:trHeight w:val="232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 Залихе материјала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4.900.000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4.384.631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 Залихе готових производа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87.652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3. Дати аванси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380.000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155.133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245</w:t>
            </w:r>
          </w:p>
        </w:tc>
      </w:tr>
      <w:tr w:rsidR="00A16CC7" w:rsidRPr="004E3518" w:rsidTr="00A16CC7">
        <w:trPr>
          <w:trHeight w:val="34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 КРАТКОРОЧНА ПОТРАЖИВАЊА И ПЛАСМАНИ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24.667.000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21.032.000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27.329.390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A16CC7" w:rsidRPr="004E3518" w:rsidTr="00A16CC7">
        <w:trPr>
          <w:trHeight w:val="223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 Краткорочна потраживања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22.367.000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19.992.000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22.465.806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A16CC7" w:rsidRPr="004E3518" w:rsidTr="00A16CC7">
        <w:trPr>
          <w:trHeight w:val="232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a) Купци - повезана правна лица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528.000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542.000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586.972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</w:tr>
      <w:tr w:rsidR="00A16CC7" w:rsidRPr="004E3518" w:rsidTr="00A16CC7">
        <w:trPr>
          <w:trHeight w:val="18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б) Купци у земљи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21.289.000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19.000.000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21.686.156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</w:tr>
      <w:tr w:rsidR="00A16CC7" w:rsidRPr="004E3518" w:rsidTr="00A16CC7">
        <w:trPr>
          <w:trHeight w:val="178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в) Купци у иностранству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</w:tr>
      <w:tr w:rsidR="004E3518" w:rsidRPr="004E3518" w:rsidTr="00A16CC7">
        <w:trPr>
          <w:trHeight w:val="277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г) Друга краткорочна потраживања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550.000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450.000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192.678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285</w:t>
            </w:r>
          </w:p>
        </w:tc>
      </w:tr>
      <w:tr w:rsidR="00A16CC7" w:rsidRPr="004E3518" w:rsidTr="00A16CC7">
        <w:trPr>
          <w:trHeight w:val="232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 Краткорочни финансијски пласмани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2.798.147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16CC7" w:rsidRPr="004E3518" w:rsidTr="00D233A6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 xml:space="preserve">    а) Дио дугорочних финанс. пласмана који доспјевају за наплату у периоду до годину дана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2.798.147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E3518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3. Готовински еквиваленти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293.000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300.000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429.789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A16CC7" w:rsidRPr="004E3518" w:rsidTr="00A16CC7">
        <w:trPr>
          <w:trHeight w:val="25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4. Активна временска разграничења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730.000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1.635.648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122</w:t>
            </w:r>
          </w:p>
        </w:tc>
      </w:tr>
      <w:tr w:rsidR="00A16CC7" w:rsidRPr="004E3518" w:rsidTr="00D233A6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III ОДЛОЖЕНА ПОРЕСКА СРЕДСТВА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E3518" w:rsidRPr="004E3518" w:rsidRDefault="004E3518" w:rsidP="004E351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E3518" w:rsidRPr="004E3518" w:rsidTr="00D233A6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Г. ГУБИТАК ИЗНАД ВИСИНЕ КАПИТАЛА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</w:tr>
      <w:tr w:rsidR="004E3518" w:rsidRPr="004E3518" w:rsidTr="00D233A6">
        <w:trPr>
          <w:trHeight w:val="6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Д. ПОСЛОВНА АКТИВА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275.138.851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268.837.647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278.677.174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4E3518" w:rsidRPr="004E3518" w:rsidTr="00A16CC7">
        <w:trPr>
          <w:trHeight w:val="7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Ђ. ВАНБИЛАНСНА АКТИВА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32.146.000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32.153.644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4E3518" w:rsidRPr="004E3518" w:rsidTr="00A16CC7">
        <w:trPr>
          <w:trHeight w:val="70"/>
        </w:trPr>
        <w:tc>
          <w:tcPr>
            <w:tcW w:w="4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Е. УКУПНА АКТИВА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307.284.851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300.837.647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310.830.818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7EE"/>
            <w:noWrap/>
            <w:vAlign w:val="center"/>
            <w:hideMark/>
          </w:tcPr>
          <w:p w:rsidR="004E3518" w:rsidRPr="004E3518" w:rsidRDefault="004E3518" w:rsidP="004E351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E3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</w:tbl>
    <w:p w:rsidR="005A77A9" w:rsidRPr="00DC1D1C" w:rsidRDefault="005A77A9" w:rsidP="005A77A9">
      <w:pPr>
        <w:jc w:val="both"/>
        <w:rPr>
          <w:rFonts w:ascii="Arial" w:hAnsi="Arial" w:cs="Arial"/>
          <w:sz w:val="22"/>
          <w:lang w:val="sr-Latn-CS"/>
        </w:rPr>
      </w:pPr>
      <w:r w:rsidRPr="00DC1D1C">
        <w:rPr>
          <w:rFonts w:ascii="Arial" w:hAnsi="Arial" w:cs="Arial"/>
          <w:b/>
          <w:sz w:val="22"/>
          <w:lang w:val="sr-Cyrl-CS"/>
        </w:rPr>
        <w:lastRenderedPageBreak/>
        <w:t>Стална имовина</w:t>
      </w:r>
      <w:r w:rsidRPr="00DC1D1C">
        <w:rPr>
          <w:rFonts w:ascii="Arial" w:hAnsi="Arial" w:cs="Arial"/>
          <w:sz w:val="22"/>
          <w:lang w:val="sr-Cyrl-CS"/>
        </w:rPr>
        <w:t xml:space="preserve"> Предузећа на дан 31.12.20</w:t>
      </w:r>
      <w:r w:rsidRPr="00DC1D1C">
        <w:rPr>
          <w:rFonts w:ascii="Arial" w:hAnsi="Arial" w:cs="Arial"/>
          <w:sz w:val="22"/>
        </w:rPr>
        <w:t>1</w:t>
      </w:r>
      <w:r w:rsidR="00DC1D1C" w:rsidRPr="00DC1D1C">
        <w:rPr>
          <w:rFonts w:ascii="Arial" w:hAnsi="Arial" w:cs="Arial"/>
          <w:sz w:val="22"/>
          <w:lang w:val="sr-Cyrl-BA"/>
        </w:rPr>
        <w:t>8</w:t>
      </w:r>
      <w:r w:rsidRPr="00DC1D1C">
        <w:rPr>
          <w:rFonts w:ascii="Arial" w:hAnsi="Arial" w:cs="Arial"/>
          <w:sz w:val="22"/>
          <w:lang w:val="sr-Cyrl-CS"/>
        </w:rPr>
        <w:t xml:space="preserve">. године према </w:t>
      </w:r>
      <w:r w:rsidR="00F3571E" w:rsidRPr="00DC1D1C">
        <w:rPr>
          <w:rFonts w:ascii="Arial" w:hAnsi="Arial" w:cs="Arial"/>
          <w:sz w:val="22"/>
          <w:lang w:val="sr-Cyrl-CS"/>
        </w:rPr>
        <w:t>Ребалансу</w:t>
      </w:r>
      <w:r w:rsidRPr="00DC1D1C">
        <w:rPr>
          <w:rFonts w:ascii="Arial" w:hAnsi="Arial" w:cs="Arial"/>
          <w:sz w:val="22"/>
        </w:rPr>
        <w:t xml:space="preserve"> пословања за 201</w:t>
      </w:r>
      <w:r w:rsidR="00DC1D1C" w:rsidRPr="00DC1D1C">
        <w:rPr>
          <w:rFonts w:ascii="Arial" w:hAnsi="Arial" w:cs="Arial"/>
          <w:sz w:val="22"/>
          <w:lang w:val="sr-Cyrl-RS"/>
        </w:rPr>
        <w:t>8</w:t>
      </w:r>
      <w:r w:rsidRPr="00DC1D1C">
        <w:rPr>
          <w:rFonts w:ascii="Arial" w:hAnsi="Arial" w:cs="Arial"/>
          <w:sz w:val="22"/>
        </w:rPr>
        <w:t xml:space="preserve">. годину </w:t>
      </w:r>
      <w:r w:rsidRPr="00DC1D1C">
        <w:rPr>
          <w:rFonts w:ascii="Arial" w:hAnsi="Arial" w:cs="Arial"/>
          <w:sz w:val="22"/>
          <w:lang w:val="sr-Cyrl-RS"/>
        </w:rPr>
        <w:t xml:space="preserve">процјењена је на </w:t>
      </w:r>
      <w:r w:rsidR="00C751C5" w:rsidRPr="00DC1D1C">
        <w:rPr>
          <w:rFonts w:ascii="Arial" w:hAnsi="Arial" w:cs="Arial"/>
          <w:sz w:val="22"/>
          <w:lang w:val="sr-Cyrl-CS"/>
        </w:rPr>
        <w:t xml:space="preserve">износ од </w:t>
      </w:r>
      <w:r w:rsidRPr="00DC1D1C">
        <w:rPr>
          <w:rFonts w:ascii="Arial" w:hAnsi="Arial" w:cs="Arial"/>
          <w:sz w:val="22"/>
          <w:lang w:val="sr-Cyrl-CS"/>
        </w:rPr>
        <w:t xml:space="preserve"> </w:t>
      </w:r>
      <w:r w:rsidR="0098718D" w:rsidRPr="00DC1D1C">
        <w:rPr>
          <w:rFonts w:ascii="Arial" w:hAnsi="Arial" w:cs="Arial"/>
          <w:sz w:val="22"/>
          <w:lang w:val="sr-Latn-RS"/>
        </w:rPr>
        <w:t>2</w:t>
      </w:r>
      <w:r w:rsidR="00DC1D1C" w:rsidRPr="00DC1D1C">
        <w:rPr>
          <w:rFonts w:ascii="Arial" w:hAnsi="Arial" w:cs="Arial"/>
          <w:sz w:val="22"/>
          <w:lang w:val="sr-Cyrl-BA"/>
        </w:rPr>
        <w:t>44</w:t>
      </w:r>
      <w:r w:rsidR="0098718D" w:rsidRPr="00DC1D1C">
        <w:rPr>
          <w:rFonts w:ascii="Arial" w:hAnsi="Arial" w:cs="Arial"/>
          <w:sz w:val="22"/>
          <w:lang w:val="sr-Latn-RS"/>
        </w:rPr>
        <w:t>,</w:t>
      </w:r>
      <w:r w:rsidR="00DC1D1C" w:rsidRPr="00DC1D1C">
        <w:rPr>
          <w:rFonts w:ascii="Arial" w:hAnsi="Arial" w:cs="Arial"/>
          <w:sz w:val="22"/>
          <w:lang w:val="sr-Cyrl-CS"/>
        </w:rPr>
        <w:t>9</w:t>
      </w:r>
      <w:r w:rsidR="00F3571E" w:rsidRPr="00DC1D1C">
        <w:rPr>
          <w:rFonts w:ascii="Arial" w:hAnsi="Arial" w:cs="Arial"/>
          <w:sz w:val="22"/>
          <w:lang w:val="sr-Cyrl-BA"/>
        </w:rPr>
        <w:t>9</w:t>
      </w:r>
      <w:r w:rsidR="0098718D" w:rsidRPr="00DC1D1C">
        <w:rPr>
          <w:rFonts w:ascii="Arial" w:hAnsi="Arial" w:cs="Arial"/>
          <w:sz w:val="22"/>
          <w:lang w:val="sr-Latn-RS"/>
        </w:rPr>
        <w:t xml:space="preserve"> </w:t>
      </w:r>
      <w:r w:rsidRPr="00DC1D1C">
        <w:rPr>
          <w:rFonts w:ascii="Arial" w:hAnsi="Arial" w:cs="Arial"/>
          <w:sz w:val="22"/>
          <w:lang w:val="sr-Cyrl-CS"/>
        </w:rPr>
        <w:t>мил. КМ, од чега</w:t>
      </w:r>
      <w:r w:rsidRPr="00DC1D1C">
        <w:rPr>
          <w:rFonts w:ascii="Arial" w:hAnsi="Arial" w:cs="Arial"/>
          <w:sz w:val="22"/>
          <w:lang w:val="sr-Latn-CS"/>
        </w:rPr>
        <w:t>: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DC1D1C" w:rsidRDefault="00D74ACB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sz w:val="22"/>
          <w:lang w:val="sr-Cyrl-CS"/>
        </w:rPr>
        <w:t xml:space="preserve">Нематеријална улагања </w:t>
      </w:r>
      <w:r w:rsidR="0098718D" w:rsidRPr="00DC1D1C">
        <w:rPr>
          <w:rFonts w:ascii="Arial" w:hAnsi="Arial" w:cs="Arial"/>
          <w:sz w:val="22"/>
          <w:lang w:val="sr-Latn-RS"/>
        </w:rPr>
        <w:t>3,</w:t>
      </w:r>
      <w:r w:rsidR="00DC1D1C" w:rsidRPr="00DC1D1C">
        <w:rPr>
          <w:rFonts w:ascii="Arial" w:hAnsi="Arial" w:cs="Arial"/>
          <w:sz w:val="22"/>
          <w:lang w:val="sr-Cyrl-CS"/>
        </w:rPr>
        <w:t>5</w:t>
      </w:r>
      <w:r w:rsidR="00F3571E" w:rsidRPr="00DC1D1C">
        <w:rPr>
          <w:rFonts w:ascii="Arial" w:hAnsi="Arial" w:cs="Arial"/>
          <w:sz w:val="22"/>
          <w:lang w:val="sr-Cyrl-CS"/>
        </w:rPr>
        <w:t>5</w:t>
      </w:r>
      <w:r w:rsidR="005A77A9" w:rsidRPr="00DC1D1C">
        <w:rPr>
          <w:rFonts w:ascii="Arial" w:hAnsi="Arial" w:cs="Arial"/>
          <w:sz w:val="22"/>
          <w:lang w:val="sr-Cyrl-CS"/>
        </w:rPr>
        <w:t xml:space="preserve"> мил. КМ</w:t>
      </w:r>
    </w:p>
    <w:p w:rsidR="005A77A9" w:rsidRPr="00DC1D1C" w:rsidRDefault="00F3571E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sz w:val="22"/>
          <w:lang w:val="sr-Cyrl-CS"/>
        </w:rPr>
        <w:t>Некре</w:t>
      </w:r>
      <w:r w:rsidR="00BF0A42" w:rsidRPr="00DC1D1C">
        <w:rPr>
          <w:rFonts w:ascii="Arial" w:hAnsi="Arial" w:cs="Arial"/>
          <w:sz w:val="22"/>
          <w:lang w:val="sr-Cyrl-CS"/>
        </w:rPr>
        <w:t>тнине, постројења, опрема</w:t>
      </w:r>
      <w:r w:rsidR="00D74ACB" w:rsidRPr="00DC1D1C">
        <w:rPr>
          <w:rFonts w:ascii="Arial" w:hAnsi="Arial" w:cs="Arial"/>
          <w:sz w:val="22"/>
          <w:lang w:val="sr-Cyrl-CS"/>
        </w:rPr>
        <w:t xml:space="preserve"> </w:t>
      </w:r>
      <w:r w:rsidR="005A77A9" w:rsidRPr="00DC1D1C">
        <w:rPr>
          <w:rFonts w:ascii="Arial" w:hAnsi="Arial" w:cs="Arial"/>
          <w:sz w:val="22"/>
          <w:lang w:val="sr-Cyrl-CS"/>
        </w:rPr>
        <w:t xml:space="preserve"> </w:t>
      </w:r>
      <w:r w:rsidR="00DC1D1C" w:rsidRPr="00DC1D1C">
        <w:rPr>
          <w:rFonts w:ascii="Arial" w:hAnsi="Arial" w:cs="Arial"/>
          <w:sz w:val="22"/>
          <w:lang w:val="sr-Cyrl-CS"/>
        </w:rPr>
        <w:t>236,94</w:t>
      </w:r>
      <w:r w:rsidR="0098718D" w:rsidRPr="00DC1D1C">
        <w:rPr>
          <w:rFonts w:ascii="Arial" w:hAnsi="Arial" w:cs="Arial"/>
          <w:sz w:val="22"/>
          <w:lang w:val="sr-Latn-RS"/>
        </w:rPr>
        <w:t xml:space="preserve"> </w:t>
      </w:r>
      <w:r w:rsidR="005A77A9" w:rsidRPr="00DC1D1C">
        <w:rPr>
          <w:rFonts w:ascii="Arial" w:hAnsi="Arial" w:cs="Arial"/>
          <w:sz w:val="22"/>
          <w:lang w:val="sr-Cyrl-CS"/>
        </w:rPr>
        <w:t xml:space="preserve">мил. КМ </w:t>
      </w:r>
    </w:p>
    <w:p w:rsidR="005A77A9" w:rsidRPr="00DC1D1C" w:rsidRDefault="005A77A9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sz w:val="22"/>
          <w:lang w:val="sr-Cyrl-CS"/>
        </w:rPr>
        <w:t xml:space="preserve">Средства </w:t>
      </w:r>
      <w:r w:rsidR="00D74ACB" w:rsidRPr="00DC1D1C">
        <w:rPr>
          <w:rFonts w:ascii="Arial" w:hAnsi="Arial" w:cs="Arial"/>
          <w:sz w:val="22"/>
          <w:lang w:val="sr-Cyrl-CS"/>
        </w:rPr>
        <w:t xml:space="preserve">културе </w:t>
      </w:r>
      <w:r w:rsidRPr="00DC1D1C">
        <w:rPr>
          <w:rFonts w:ascii="Arial" w:hAnsi="Arial" w:cs="Arial"/>
          <w:sz w:val="22"/>
          <w:lang w:val="sr-Cyrl-CS"/>
        </w:rPr>
        <w:t xml:space="preserve"> </w:t>
      </w:r>
      <w:r w:rsidR="0098718D" w:rsidRPr="00DC1D1C">
        <w:rPr>
          <w:rFonts w:ascii="Arial" w:hAnsi="Arial" w:cs="Arial"/>
          <w:sz w:val="22"/>
          <w:lang w:val="sr-Latn-RS"/>
        </w:rPr>
        <w:t>1</w:t>
      </w:r>
      <w:r w:rsidR="0067013E" w:rsidRPr="00DC1D1C">
        <w:rPr>
          <w:rFonts w:ascii="Arial" w:hAnsi="Arial" w:cs="Arial"/>
          <w:sz w:val="22"/>
          <w:lang w:val="sr-Cyrl-BA"/>
        </w:rPr>
        <w:t>4</w:t>
      </w:r>
      <w:r w:rsidR="0098718D" w:rsidRPr="00DC1D1C">
        <w:rPr>
          <w:rFonts w:ascii="Arial" w:hAnsi="Arial" w:cs="Arial"/>
          <w:sz w:val="22"/>
          <w:lang w:val="sr-Latn-RS"/>
        </w:rPr>
        <w:t>.</w:t>
      </w:r>
      <w:r w:rsidR="0067013E" w:rsidRPr="00DC1D1C">
        <w:rPr>
          <w:rFonts w:ascii="Arial" w:hAnsi="Arial" w:cs="Arial"/>
          <w:sz w:val="22"/>
          <w:lang w:val="sr-Cyrl-BA"/>
        </w:rPr>
        <w:t xml:space="preserve">647 </w:t>
      </w:r>
      <w:r w:rsidRPr="00DC1D1C">
        <w:rPr>
          <w:rFonts w:ascii="Arial" w:hAnsi="Arial" w:cs="Arial"/>
          <w:sz w:val="22"/>
          <w:lang w:val="sr-Cyrl-CS"/>
        </w:rPr>
        <w:t>КМ</w:t>
      </w:r>
    </w:p>
    <w:p w:rsidR="005A77A9" w:rsidRPr="00DC1D1C" w:rsidRDefault="005A77A9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sz w:val="22"/>
          <w:lang w:val="sr-Cyrl-CS"/>
        </w:rPr>
        <w:t>Дуг</w:t>
      </w:r>
      <w:r w:rsidR="00D74ACB" w:rsidRPr="00DC1D1C">
        <w:rPr>
          <w:rFonts w:ascii="Arial" w:hAnsi="Arial" w:cs="Arial"/>
          <w:sz w:val="22"/>
          <w:lang w:val="sr-Cyrl-CS"/>
        </w:rPr>
        <w:t xml:space="preserve">орочни финансијски пласмани </w:t>
      </w:r>
      <w:r w:rsidR="00DC1D1C" w:rsidRPr="00DC1D1C">
        <w:rPr>
          <w:rFonts w:ascii="Arial" w:hAnsi="Arial" w:cs="Arial"/>
          <w:sz w:val="22"/>
          <w:lang w:val="sr-Cyrl-CS"/>
        </w:rPr>
        <w:t>2,</w:t>
      </w:r>
      <w:r w:rsidR="00593174" w:rsidRPr="00DC1D1C">
        <w:rPr>
          <w:rFonts w:ascii="Arial" w:hAnsi="Arial" w:cs="Arial"/>
          <w:sz w:val="22"/>
          <w:lang w:val="sr-Cyrl-CS"/>
        </w:rPr>
        <w:t>9</w:t>
      </w:r>
      <w:r w:rsidR="00DC1D1C" w:rsidRPr="00DC1D1C">
        <w:rPr>
          <w:rFonts w:ascii="Arial" w:hAnsi="Arial" w:cs="Arial"/>
          <w:sz w:val="22"/>
          <w:lang w:val="sr-Cyrl-CS"/>
        </w:rPr>
        <w:t>8</w:t>
      </w:r>
      <w:r w:rsidR="00593174" w:rsidRPr="00DC1D1C">
        <w:rPr>
          <w:rFonts w:ascii="Arial" w:hAnsi="Arial" w:cs="Arial"/>
          <w:sz w:val="22"/>
          <w:lang w:val="sr-Cyrl-CS"/>
        </w:rPr>
        <w:t xml:space="preserve"> мил</w:t>
      </w:r>
      <w:r w:rsidRPr="00DC1D1C">
        <w:rPr>
          <w:rFonts w:ascii="Arial" w:hAnsi="Arial" w:cs="Arial"/>
          <w:sz w:val="22"/>
          <w:lang w:val="sr-Cyrl-CS"/>
        </w:rPr>
        <w:t xml:space="preserve"> КМ</w:t>
      </w:r>
    </w:p>
    <w:p w:rsidR="005A77A9" w:rsidRPr="00DC1D1C" w:rsidRDefault="00D74ACB" w:rsidP="00857DF2">
      <w:pPr>
        <w:numPr>
          <w:ilvl w:val="2"/>
          <w:numId w:val="8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sz w:val="22"/>
          <w:lang w:val="sr-Cyrl-CS"/>
        </w:rPr>
        <w:t xml:space="preserve">Одложена пореска средства </w:t>
      </w:r>
      <w:r w:rsidR="00DC1D1C" w:rsidRPr="00DC1D1C">
        <w:rPr>
          <w:rFonts w:ascii="Arial" w:hAnsi="Arial" w:cs="Arial"/>
          <w:sz w:val="22"/>
          <w:lang w:val="sr-Cyrl-CS"/>
        </w:rPr>
        <w:t>1,5</w:t>
      </w:r>
      <w:r w:rsidR="00593174" w:rsidRPr="00DC1D1C">
        <w:rPr>
          <w:rFonts w:ascii="Arial" w:hAnsi="Arial" w:cs="Arial"/>
          <w:sz w:val="22"/>
          <w:lang w:val="sr-Cyrl-CS"/>
        </w:rPr>
        <w:t>0 мил.</w:t>
      </w:r>
      <w:r w:rsidR="005A77A9" w:rsidRPr="00DC1D1C">
        <w:rPr>
          <w:rFonts w:ascii="Arial" w:hAnsi="Arial" w:cs="Arial"/>
          <w:sz w:val="22"/>
          <w:lang w:val="sr-Cyrl-CS"/>
        </w:rPr>
        <w:t xml:space="preserve"> КМ.</w:t>
      </w:r>
    </w:p>
    <w:p w:rsidR="00981F23" w:rsidRPr="00C161F7" w:rsidRDefault="00981F23" w:rsidP="005A77A9">
      <w:pPr>
        <w:jc w:val="both"/>
        <w:rPr>
          <w:rFonts w:ascii="Arial" w:hAnsi="Arial" w:cs="Arial"/>
          <w:sz w:val="22"/>
          <w:highlight w:val="yellow"/>
          <w:lang w:val="sr-Cyrl-BA"/>
        </w:rPr>
      </w:pPr>
    </w:p>
    <w:p w:rsidR="005A77A9" w:rsidRPr="00DC1D1C" w:rsidRDefault="00981F23" w:rsidP="005A77A9">
      <w:pPr>
        <w:jc w:val="both"/>
        <w:rPr>
          <w:rFonts w:ascii="Arial" w:hAnsi="Arial" w:cs="Arial"/>
          <w:sz w:val="22"/>
          <w:lang w:val="sr-Cyrl-BA"/>
        </w:rPr>
      </w:pPr>
      <w:r w:rsidRPr="00DC1D1C">
        <w:rPr>
          <w:rFonts w:ascii="Arial" w:hAnsi="Arial" w:cs="Arial"/>
          <w:sz w:val="22"/>
          <w:lang w:val="sr-Cyrl-BA"/>
        </w:rPr>
        <w:t xml:space="preserve">Приликом </w:t>
      </w:r>
      <w:r w:rsidR="00507086" w:rsidRPr="00DC1D1C">
        <w:rPr>
          <w:rFonts w:ascii="Arial" w:hAnsi="Arial" w:cs="Arial"/>
          <w:sz w:val="22"/>
          <w:lang w:val="sr-Cyrl-BA"/>
        </w:rPr>
        <w:t>ребаланса планираних</w:t>
      </w:r>
      <w:r w:rsidRPr="00DC1D1C">
        <w:rPr>
          <w:rFonts w:ascii="Arial" w:hAnsi="Arial" w:cs="Arial"/>
          <w:sz w:val="22"/>
          <w:lang w:val="sr-Cyrl-BA"/>
        </w:rPr>
        <w:t xml:space="preserve"> износа </w:t>
      </w:r>
      <w:r w:rsidR="000B2F9D" w:rsidRPr="00DC1D1C">
        <w:rPr>
          <w:rFonts w:ascii="Arial" w:hAnsi="Arial" w:cs="Arial"/>
          <w:sz w:val="22"/>
          <w:lang w:val="sr-Cyrl-BA"/>
        </w:rPr>
        <w:t>сталних</w:t>
      </w:r>
      <w:r w:rsidRPr="00DC1D1C">
        <w:rPr>
          <w:rFonts w:ascii="Arial" w:hAnsi="Arial" w:cs="Arial"/>
          <w:sz w:val="22"/>
          <w:lang w:val="sr-Cyrl-BA"/>
        </w:rPr>
        <w:t xml:space="preserve"> средстава узели смо у обзир процјењену вриједност средст</w:t>
      </w:r>
      <w:r w:rsidR="00DC1D1C" w:rsidRPr="00DC1D1C">
        <w:rPr>
          <w:rFonts w:ascii="Arial" w:hAnsi="Arial" w:cs="Arial"/>
          <w:sz w:val="22"/>
          <w:lang w:val="sr-Cyrl-BA"/>
        </w:rPr>
        <w:t>ава на дан 31.12.2017</w:t>
      </w:r>
      <w:r w:rsidRPr="00DC1D1C">
        <w:rPr>
          <w:rFonts w:ascii="Arial" w:hAnsi="Arial" w:cs="Arial"/>
          <w:sz w:val="22"/>
          <w:lang w:val="sr-Cyrl-BA"/>
        </w:rPr>
        <w:t xml:space="preserve">. године, процјењену амортизацију и планиране инвестиције према </w:t>
      </w:r>
      <w:r w:rsidR="00507086" w:rsidRPr="00DC1D1C">
        <w:rPr>
          <w:rFonts w:ascii="Arial" w:hAnsi="Arial" w:cs="Arial"/>
          <w:sz w:val="22"/>
          <w:lang w:val="sr-Cyrl-BA"/>
        </w:rPr>
        <w:t>Ребалансу плана</w:t>
      </w:r>
      <w:r w:rsidR="00DC1D1C" w:rsidRPr="00DC1D1C">
        <w:rPr>
          <w:rFonts w:ascii="Arial" w:hAnsi="Arial" w:cs="Arial"/>
          <w:sz w:val="22"/>
          <w:lang w:val="sr-Cyrl-BA"/>
        </w:rPr>
        <w:t xml:space="preserve"> инвестиција за 2018</w:t>
      </w:r>
      <w:r w:rsidRPr="00DC1D1C">
        <w:rPr>
          <w:rFonts w:ascii="Arial" w:hAnsi="Arial" w:cs="Arial"/>
          <w:sz w:val="22"/>
          <w:lang w:val="sr-Cyrl-BA"/>
        </w:rPr>
        <w:t>. годину.</w:t>
      </w:r>
    </w:p>
    <w:p w:rsidR="00981F23" w:rsidRPr="00C161F7" w:rsidRDefault="00981F23" w:rsidP="005A77A9">
      <w:pPr>
        <w:jc w:val="both"/>
        <w:rPr>
          <w:rFonts w:ascii="Arial" w:hAnsi="Arial" w:cs="Arial"/>
          <w:sz w:val="22"/>
          <w:highlight w:val="yellow"/>
          <w:lang w:val="sr-Cyrl-BA"/>
        </w:rPr>
      </w:pPr>
    </w:p>
    <w:p w:rsidR="005A77A9" w:rsidRPr="00DC1D1C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b/>
          <w:sz w:val="22"/>
          <w:lang w:val="sr-Cyrl-CS"/>
        </w:rPr>
        <w:t>Обртна имовина</w:t>
      </w:r>
      <w:r w:rsidRPr="00DC1D1C">
        <w:rPr>
          <w:rFonts w:ascii="Arial" w:hAnsi="Arial" w:cs="Arial"/>
          <w:sz w:val="22"/>
          <w:lang w:val="sr-Cyrl-CS"/>
        </w:rPr>
        <w:t xml:space="preserve"> планирана је на основу књиговодствених података из биланса стања претходне године, коригована са очекиваним промјенама наредног периода и прекалкулисана са планираним степеном наплате. 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DC1D1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b/>
          <w:bCs/>
          <w:sz w:val="22"/>
          <w:lang w:val="sr-Cyrl-CS"/>
        </w:rPr>
        <w:t xml:space="preserve">Стање залиха материјала </w:t>
      </w:r>
      <w:r w:rsidRPr="00DC1D1C">
        <w:rPr>
          <w:rFonts w:ascii="Arial" w:hAnsi="Arial" w:cs="Arial"/>
          <w:sz w:val="22"/>
          <w:lang w:val="sr-Cyrl-CS"/>
        </w:rPr>
        <w:t>на нивоу је потребних количина утврђених по оптимизираним нормативима ранијих пер</w:t>
      </w:r>
      <w:r w:rsidR="00981F23" w:rsidRPr="00DC1D1C">
        <w:rPr>
          <w:rFonts w:ascii="Arial" w:hAnsi="Arial" w:cs="Arial"/>
          <w:sz w:val="22"/>
          <w:lang w:val="sr-Cyrl-CS"/>
        </w:rPr>
        <w:t xml:space="preserve">иода и </w:t>
      </w:r>
      <w:r w:rsidR="000B2F9D" w:rsidRPr="00DC1D1C">
        <w:rPr>
          <w:rFonts w:ascii="Arial" w:hAnsi="Arial" w:cs="Arial"/>
          <w:sz w:val="22"/>
          <w:lang w:val="sr-Cyrl-CS"/>
        </w:rPr>
        <w:t>уз ув</w:t>
      </w:r>
      <w:r w:rsidR="00DB0D84" w:rsidRPr="00DC1D1C">
        <w:rPr>
          <w:rFonts w:ascii="Arial" w:hAnsi="Arial" w:cs="Arial"/>
          <w:sz w:val="22"/>
        </w:rPr>
        <w:t>a</w:t>
      </w:r>
      <w:r w:rsidR="000B2F9D" w:rsidRPr="00DC1D1C">
        <w:rPr>
          <w:rFonts w:ascii="Arial" w:hAnsi="Arial" w:cs="Arial"/>
          <w:sz w:val="22"/>
          <w:lang w:val="sr-Cyrl-CS"/>
        </w:rPr>
        <w:t xml:space="preserve">жавање износа који ће се наћи у </w:t>
      </w:r>
      <w:r w:rsidR="00507086" w:rsidRPr="00DC1D1C">
        <w:rPr>
          <w:rFonts w:ascii="Arial" w:hAnsi="Arial" w:cs="Arial"/>
          <w:sz w:val="22"/>
          <w:lang w:val="sr-Cyrl-CS"/>
        </w:rPr>
        <w:t>Ребалансу плана</w:t>
      </w:r>
      <w:r w:rsidR="000B2F9D" w:rsidRPr="00DC1D1C">
        <w:rPr>
          <w:rFonts w:ascii="Arial" w:hAnsi="Arial" w:cs="Arial"/>
          <w:sz w:val="22"/>
          <w:lang w:val="sr-Cyrl-CS"/>
        </w:rPr>
        <w:t xml:space="preserve"> набавки за 20</w:t>
      </w:r>
      <w:r w:rsidR="00DC1D1C" w:rsidRPr="00DC1D1C">
        <w:rPr>
          <w:rFonts w:ascii="Arial" w:hAnsi="Arial" w:cs="Arial"/>
          <w:sz w:val="22"/>
          <w:lang w:val="sr-Cyrl-CS"/>
        </w:rPr>
        <w:t>18</w:t>
      </w:r>
      <w:r w:rsidR="000B2F9D" w:rsidRPr="00DC1D1C">
        <w:rPr>
          <w:rFonts w:ascii="Arial" w:hAnsi="Arial" w:cs="Arial"/>
          <w:sz w:val="22"/>
          <w:lang w:val="sr-Cyrl-CS"/>
        </w:rPr>
        <w:t>. годину.</w:t>
      </w:r>
    </w:p>
    <w:p w:rsidR="005A77A9" w:rsidRPr="00DC1D1C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DC1D1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b/>
          <w:bCs/>
          <w:sz w:val="22"/>
          <w:lang w:val="sr-Cyrl-CS"/>
        </w:rPr>
        <w:t>Дати аванси</w:t>
      </w:r>
      <w:r w:rsidRPr="00DC1D1C">
        <w:rPr>
          <w:rFonts w:ascii="Arial" w:hAnsi="Arial" w:cs="Arial"/>
          <w:sz w:val="22"/>
          <w:lang w:val="sr-Cyrl-CS"/>
        </w:rPr>
        <w:t xml:space="preserve"> планирани су према предвиђеним условима пословања. </w:t>
      </w:r>
    </w:p>
    <w:p w:rsidR="005A77A9" w:rsidRPr="00DC1D1C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DC1D1C" w:rsidRDefault="005A77A9" w:rsidP="0046227E">
      <w:pPr>
        <w:numPr>
          <w:ilvl w:val="0"/>
          <w:numId w:val="9"/>
        </w:numPr>
        <w:jc w:val="both"/>
        <w:rPr>
          <w:rFonts w:ascii="Arial" w:hAnsi="Arial" w:cs="Arial"/>
          <w:sz w:val="22"/>
          <w:lang w:val="sr-Cyrl-CS"/>
        </w:rPr>
      </w:pPr>
      <w:r w:rsidRPr="00DC1D1C">
        <w:rPr>
          <w:rFonts w:ascii="Arial" w:hAnsi="Arial" w:cs="Arial"/>
          <w:b/>
          <w:sz w:val="22"/>
          <w:lang w:val="sr-Cyrl-CS"/>
        </w:rPr>
        <w:t>Краткорочна потраживања</w:t>
      </w:r>
      <w:r w:rsidRPr="00DC1D1C">
        <w:rPr>
          <w:rFonts w:ascii="Arial" w:hAnsi="Arial" w:cs="Arial"/>
          <w:sz w:val="22"/>
          <w:lang w:val="sr-Cyrl-CS"/>
        </w:rPr>
        <w:t xml:space="preserve"> односе се на потраживања од купаца за електричну енергију планирану на основу кумулативног степена наплате и наплате потраживања из ранијих периода. Планирани проценат наплате према Смјерницама за израду </w:t>
      </w:r>
      <w:r w:rsidR="009847BD" w:rsidRPr="00DC1D1C">
        <w:rPr>
          <w:rFonts w:ascii="Arial" w:hAnsi="Arial" w:cs="Arial"/>
          <w:sz w:val="22"/>
          <w:lang w:val="sr-Cyrl-CS"/>
        </w:rPr>
        <w:t>Ребаланса</w:t>
      </w:r>
      <w:r w:rsidRPr="00DC1D1C">
        <w:rPr>
          <w:rFonts w:ascii="Arial" w:hAnsi="Arial" w:cs="Arial"/>
          <w:sz w:val="22"/>
          <w:lang w:val="sr-Cyrl-CS"/>
        </w:rPr>
        <w:t xml:space="preserve"> пословања у 20</w:t>
      </w:r>
      <w:r w:rsidRPr="00DC1D1C">
        <w:rPr>
          <w:rFonts w:ascii="Arial" w:hAnsi="Arial" w:cs="Arial"/>
          <w:sz w:val="22"/>
        </w:rPr>
        <w:t>1</w:t>
      </w:r>
      <w:r w:rsidR="00DC1D1C" w:rsidRPr="00DC1D1C">
        <w:rPr>
          <w:rFonts w:ascii="Arial" w:hAnsi="Arial" w:cs="Arial"/>
          <w:sz w:val="22"/>
          <w:lang w:val="sr-Cyrl-RS"/>
        </w:rPr>
        <w:t>8</w:t>
      </w:r>
      <w:r w:rsidRPr="00DC1D1C">
        <w:rPr>
          <w:rFonts w:ascii="Arial" w:hAnsi="Arial" w:cs="Arial"/>
          <w:sz w:val="22"/>
          <w:lang w:val="sr-Cyrl-CS"/>
        </w:rPr>
        <w:t xml:space="preserve">. години је 100%. </w:t>
      </w:r>
    </w:p>
    <w:p w:rsidR="005A77A9" w:rsidRPr="00DC1D1C" w:rsidRDefault="005A77A9" w:rsidP="005A77A9">
      <w:pPr>
        <w:jc w:val="both"/>
        <w:rPr>
          <w:rFonts w:ascii="Arial" w:hAnsi="Arial" w:cs="Arial"/>
          <w:bCs/>
          <w:iCs/>
          <w:sz w:val="22"/>
          <w:lang w:val="sr-Cyrl-CS"/>
        </w:rPr>
      </w:pPr>
    </w:p>
    <w:p w:rsidR="00BF0A42" w:rsidRPr="00DC1D1C" w:rsidRDefault="00BF0A42" w:rsidP="005A77A9">
      <w:pPr>
        <w:jc w:val="both"/>
        <w:rPr>
          <w:rFonts w:ascii="Arial" w:hAnsi="Arial" w:cs="Arial"/>
          <w:bCs/>
          <w:iCs/>
          <w:sz w:val="22"/>
          <w:lang w:val="sr-Cyrl-CS"/>
        </w:rPr>
      </w:pPr>
    </w:p>
    <w:p w:rsidR="00BF0A42" w:rsidRPr="00DC1D1C" w:rsidRDefault="00BF0A42" w:rsidP="005A77A9">
      <w:pPr>
        <w:jc w:val="both"/>
        <w:rPr>
          <w:rFonts w:ascii="Arial" w:hAnsi="Arial" w:cs="Arial"/>
          <w:bCs/>
          <w:iCs/>
          <w:sz w:val="22"/>
          <w:lang w:val="sr-Cyrl-CS"/>
        </w:rPr>
      </w:pPr>
      <w:r w:rsidRPr="00DC1D1C">
        <w:rPr>
          <w:rFonts w:ascii="Arial" w:hAnsi="Arial" w:cs="Arial"/>
          <w:bCs/>
          <w:iCs/>
          <w:sz w:val="22"/>
          <w:lang w:val="sr-Cyrl-CS"/>
        </w:rPr>
        <w:t>Структура планираних</w:t>
      </w:r>
      <w:r w:rsidR="00DC1D1C" w:rsidRPr="00DC1D1C">
        <w:rPr>
          <w:rFonts w:ascii="Arial" w:hAnsi="Arial" w:cs="Arial"/>
          <w:bCs/>
          <w:iCs/>
          <w:sz w:val="22"/>
          <w:lang w:val="sr-Cyrl-CS"/>
        </w:rPr>
        <w:t xml:space="preserve"> нематеријалних средстава у 2018</w:t>
      </w:r>
      <w:r w:rsidRPr="00DC1D1C">
        <w:rPr>
          <w:rFonts w:ascii="Arial" w:hAnsi="Arial" w:cs="Arial"/>
          <w:bCs/>
          <w:iCs/>
          <w:sz w:val="22"/>
          <w:lang w:val="sr-Cyrl-CS"/>
        </w:rPr>
        <w:t>. години је следећа:</w:t>
      </w:r>
    </w:p>
    <w:p w:rsidR="00BF0A42" w:rsidRPr="00DC1D1C" w:rsidRDefault="00BF0A42" w:rsidP="005A77A9">
      <w:pPr>
        <w:jc w:val="both"/>
        <w:rPr>
          <w:rFonts w:ascii="Arial" w:hAnsi="Arial" w:cs="Arial"/>
          <w:bCs/>
          <w:iCs/>
          <w:sz w:val="22"/>
          <w:lang w:val="sr-Cyrl-CS"/>
        </w:rPr>
      </w:pPr>
    </w:p>
    <w:tbl>
      <w:tblPr>
        <w:tblW w:w="9630" w:type="dxa"/>
        <w:tblInd w:w="18" w:type="dxa"/>
        <w:tblLook w:val="04A0" w:firstRow="1" w:lastRow="0" w:firstColumn="1" w:lastColumn="0" w:noHBand="0" w:noVBand="1"/>
      </w:tblPr>
      <w:tblGrid>
        <w:gridCol w:w="7505"/>
        <w:gridCol w:w="1405"/>
        <w:gridCol w:w="720"/>
      </w:tblGrid>
      <w:tr w:rsidR="00BF0A42" w:rsidRPr="00C161F7" w:rsidTr="0085732D">
        <w:trPr>
          <w:trHeight w:val="367"/>
        </w:trPr>
        <w:tc>
          <w:tcPr>
            <w:tcW w:w="7505" w:type="dxa"/>
            <w:shd w:val="clear" w:color="auto" w:fill="auto"/>
            <w:noWrap/>
            <w:vAlign w:val="center"/>
            <w:hideMark/>
          </w:tcPr>
          <w:p w:rsidR="00BF0A42" w:rsidRPr="00594D69" w:rsidRDefault="00BF0A42" w:rsidP="00EE7C7E">
            <w:pPr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Улагања у истраживање и развој</w:t>
            </w: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..............................................................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F0A42" w:rsidRPr="00594D69" w:rsidRDefault="00DC1D1C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CS"/>
              </w:rPr>
              <w:t>55</w:t>
            </w:r>
            <w:r w:rsidR="00BF0A42" w:rsidRPr="00594D69">
              <w:rPr>
                <w:rFonts w:ascii="Arial" w:hAnsi="Arial" w:cs="Arial"/>
                <w:color w:val="000000"/>
                <w:sz w:val="22"/>
                <w:szCs w:val="20"/>
              </w:rPr>
              <w:t>.000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A42" w:rsidRPr="00594D69" w:rsidRDefault="00DD1D68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2%</w:t>
            </w:r>
          </w:p>
        </w:tc>
      </w:tr>
      <w:tr w:rsidR="00BF0A42" w:rsidRPr="00C161F7" w:rsidTr="0085732D">
        <w:trPr>
          <w:trHeight w:val="367"/>
        </w:trPr>
        <w:tc>
          <w:tcPr>
            <w:tcW w:w="7505" w:type="dxa"/>
            <w:shd w:val="clear" w:color="auto" w:fill="auto"/>
            <w:noWrap/>
            <w:vAlign w:val="center"/>
            <w:hideMark/>
          </w:tcPr>
          <w:p w:rsidR="00BF0A42" w:rsidRPr="00594D69" w:rsidRDefault="00BF0A42" w:rsidP="00EE7C7E">
            <w:pPr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Концесије, патенти, лиценце и сл. Права</w:t>
            </w: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.................................................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F0A42" w:rsidRPr="00594D69" w:rsidRDefault="00BF0A42" w:rsidP="009847BD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5</w:t>
            </w:r>
            <w:r w:rsidR="00DC1D1C" w:rsidRPr="00594D69">
              <w:rPr>
                <w:rFonts w:ascii="Arial" w:hAnsi="Arial" w:cs="Arial"/>
                <w:color w:val="000000"/>
                <w:sz w:val="22"/>
                <w:szCs w:val="20"/>
                <w:lang w:val="sr-Cyrl-CS"/>
              </w:rPr>
              <w:t>00</w:t>
            </w: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.000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A42" w:rsidRPr="00594D69" w:rsidRDefault="00594D69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14</w:t>
            </w:r>
            <w:r w:rsidR="00DD1D68"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%</w:t>
            </w:r>
          </w:p>
        </w:tc>
      </w:tr>
      <w:tr w:rsidR="00BF0A42" w:rsidRPr="00C161F7" w:rsidTr="0085732D">
        <w:trPr>
          <w:trHeight w:val="367"/>
        </w:trPr>
        <w:tc>
          <w:tcPr>
            <w:tcW w:w="7505" w:type="dxa"/>
            <w:shd w:val="clear" w:color="auto" w:fill="auto"/>
            <w:noWrap/>
            <w:vAlign w:val="center"/>
            <w:hideMark/>
          </w:tcPr>
          <w:p w:rsidR="00BF0A42" w:rsidRPr="00594D69" w:rsidRDefault="00BF0A42" w:rsidP="00EE7C7E">
            <w:pPr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Друга нематеријална улагања</w:t>
            </w: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..................................................................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F0A42" w:rsidRPr="00594D69" w:rsidRDefault="00DC1D1C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CS"/>
              </w:rPr>
              <w:t>795</w:t>
            </w:r>
            <w:r w:rsidR="00BF0A42" w:rsidRPr="00594D69">
              <w:rPr>
                <w:rFonts w:ascii="Arial" w:hAnsi="Arial" w:cs="Arial"/>
                <w:color w:val="000000"/>
                <w:sz w:val="22"/>
                <w:szCs w:val="20"/>
              </w:rPr>
              <w:t>.000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A42" w:rsidRPr="00594D69" w:rsidRDefault="00594D69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22</w:t>
            </w:r>
            <w:r w:rsidR="00DD1D68"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%</w:t>
            </w:r>
          </w:p>
        </w:tc>
      </w:tr>
      <w:tr w:rsidR="00BF0A42" w:rsidRPr="00C161F7" w:rsidTr="0085732D">
        <w:trPr>
          <w:trHeight w:val="367"/>
        </w:trPr>
        <w:tc>
          <w:tcPr>
            <w:tcW w:w="7505" w:type="dxa"/>
            <w:shd w:val="clear" w:color="auto" w:fill="auto"/>
            <w:noWrap/>
            <w:vAlign w:val="center"/>
            <w:hideMark/>
          </w:tcPr>
          <w:p w:rsidR="00BF0A42" w:rsidRPr="00594D69" w:rsidRDefault="00BF0A42" w:rsidP="00EE7C7E">
            <w:pPr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</w:rPr>
              <w:t>Аванси и нематеријална улагања у припреми</w:t>
            </w: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........................................</w:t>
            </w:r>
          </w:p>
        </w:tc>
        <w:tc>
          <w:tcPr>
            <w:tcW w:w="1405" w:type="dxa"/>
            <w:shd w:val="clear" w:color="auto" w:fill="auto"/>
            <w:noWrap/>
            <w:vAlign w:val="center"/>
            <w:hideMark/>
          </w:tcPr>
          <w:p w:rsidR="00BF0A42" w:rsidRPr="00594D69" w:rsidRDefault="00DC1D1C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CS"/>
              </w:rPr>
              <w:t>2.2</w:t>
            </w:r>
            <w:r w:rsidR="00BF0A42" w:rsidRPr="00594D69">
              <w:rPr>
                <w:rFonts w:ascii="Arial" w:hAnsi="Arial" w:cs="Arial"/>
                <w:color w:val="000000"/>
                <w:sz w:val="22"/>
                <w:szCs w:val="20"/>
              </w:rPr>
              <w:t>00.000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F0A42" w:rsidRPr="00594D69" w:rsidRDefault="00594D69" w:rsidP="00BF0A42">
            <w:pPr>
              <w:jc w:val="right"/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</w:pPr>
            <w:r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62</w:t>
            </w:r>
            <w:r w:rsidR="00DD1D68" w:rsidRPr="00594D69">
              <w:rPr>
                <w:rFonts w:ascii="Arial" w:hAnsi="Arial" w:cs="Arial"/>
                <w:color w:val="000000"/>
                <w:sz w:val="22"/>
                <w:szCs w:val="20"/>
                <w:lang w:val="sr-Cyrl-BA"/>
              </w:rPr>
              <w:t>%</w:t>
            </w:r>
          </w:p>
        </w:tc>
      </w:tr>
    </w:tbl>
    <w:p w:rsidR="00BF0A42" w:rsidRPr="00C161F7" w:rsidRDefault="00BF0A42" w:rsidP="005A77A9">
      <w:pPr>
        <w:jc w:val="both"/>
        <w:rPr>
          <w:rFonts w:ascii="Arial" w:hAnsi="Arial" w:cs="Arial"/>
          <w:bCs/>
          <w:iCs/>
          <w:sz w:val="22"/>
          <w:highlight w:val="yellow"/>
          <w:lang w:val="sr-Cyrl-CS"/>
        </w:rPr>
      </w:pPr>
    </w:p>
    <w:p w:rsidR="00BF0A42" w:rsidRPr="00C161F7" w:rsidRDefault="00BF0A42" w:rsidP="005A77A9">
      <w:pPr>
        <w:jc w:val="both"/>
        <w:rPr>
          <w:rFonts w:ascii="Arial" w:hAnsi="Arial" w:cs="Arial"/>
          <w:bCs/>
          <w:iCs/>
          <w:sz w:val="22"/>
          <w:highlight w:val="yellow"/>
          <w:lang w:val="sr-Cyrl-CS"/>
        </w:rPr>
      </w:pPr>
    </w:p>
    <w:p w:rsidR="00BF0A42" w:rsidRPr="00C161F7" w:rsidRDefault="00BF0A42" w:rsidP="005A77A9">
      <w:pPr>
        <w:jc w:val="both"/>
        <w:rPr>
          <w:rFonts w:ascii="Arial" w:hAnsi="Arial" w:cs="Arial"/>
          <w:bCs/>
          <w:iCs/>
          <w:sz w:val="22"/>
          <w:highlight w:val="yellow"/>
          <w:lang w:val="sr-Cyrl-CS"/>
        </w:rPr>
      </w:pPr>
    </w:p>
    <w:p w:rsidR="005A77A9" w:rsidRPr="00594D69" w:rsidRDefault="005A77A9" w:rsidP="005A77A9">
      <w:pPr>
        <w:jc w:val="both"/>
        <w:rPr>
          <w:rFonts w:ascii="Arial" w:hAnsi="Arial" w:cs="Arial"/>
          <w:bCs/>
          <w:sz w:val="22"/>
          <w:lang w:val="sr-Cyrl-BA"/>
        </w:rPr>
      </w:pPr>
      <w:r w:rsidRPr="00594D69">
        <w:rPr>
          <w:rFonts w:ascii="Arial" w:hAnsi="Arial" w:cs="Arial"/>
          <w:bCs/>
          <w:iCs/>
          <w:sz w:val="22"/>
          <w:lang w:val="sr-Cyrl-CS"/>
        </w:rPr>
        <w:t xml:space="preserve">Структура планираних основних средстава  </w:t>
      </w:r>
      <w:r w:rsidRPr="00594D69">
        <w:rPr>
          <w:rFonts w:ascii="Arial" w:hAnsi="Arial" w:cs="Arial"/>
          <w:bCs/>
          <w:iCs/>
          <w:sz w:val="22"/>
        </w:rPr>
        <w:t xml:space="preserve">у </w:t>
      </w:r>
      <w:r w:rsidRPr="00594D69">
        <w:rPr>
          <w:rFonts w:ascii="Arial" w:hAnsi="Arial" w:cs="Arial"/>
          <w:bCs/>
          <w:sz w:val="22"/>
          <w:lang w:val="sr-Cyrl-CS"/>
        </w:rPr>
        <w:t>20</w:t>
      </w:r>
      <w:r w:rsidRPr="00594D69">
        <w:rPr>
          <w:rFonts w:ascii="Arial" w:hAnsi="Arial" w:cs="Arial"/>
          <w:bCs/>
          <w:sz w:val="22"/>
        </w:rPr>
        <w:t>1</w:t>
      </w:r>
      <w:r w:rsidR="00594D69" w:rsidRPr="00594D69">
        <w:rPr>
          <w:rFonts w:ascii="Arial" w:hAnsi="Arial" w:cs="Arial"/>
          <w:bCs/>
          <w:sz w:val="22"/>
          <w:lang w:val="sr-Cyrl-BA"/>
        </w:rPr>
        <w:t>8</w:t>
      </w:r>
      <w:r w:rsidRPr="00594D69">
        <w:rPr>
          <w:rFonts w:ascii="Arial" w:hAnsi="Arial" w:cs="Arial"/>
          <w:bCs/>
          <w:sz w:val="22"/>
        </w:rPr>
        <w:t>.</w:t>
      </w:r>
      <w:r w:rsidRPr="00594D69">
        <w:rPr>
          <w:rFonts w:ascii="Arial" w:hAnsi="Arial" w:cs="Arial"/>
          <w:bCs/>
          <w:sz w:val="22"/>
          <w:lang w:val="sr-Cyrl-CS"/>
        </w:rPr>
        <w:t xml:space="preserve"> </w:t>
      </w:r>
      <w:r w:rsidR="00BF0A42" w:rsidRPr="00594D69">
        <w:rPr>
          <w:rFonts w:ascii="Arial" w:hAnsi="Arial" w:cs="Arial"/>
          <w:bCs/>
          <w:sz w:val="22"/>
        </w:rPr>
        <w:t>г</w:t>
      </w:r>
      <w:r w:rsidRPr="00594D69">
        <w:rPr>
          <w:rFonts w:ascii="Arial" w:hAnsi="Arial" w:cs="Arial"/>
          <w:bCs/>
          <w:sz w:val="22"/>
        </w:rPr>
        <w:t>одини</w:t>
      </w:r>
      <w:r w:rsidR="0067013E" w:rsidRPr="00594D69">
        <w:rPr>
          <w:rFonts w:ascii="Arial" w:hAnsi="Arial" w:cs="Arial"/>
          <w:bCs/>
          <w:sz w:val="22"/>
          <w:lang w:val="sr-Cyrl-BA"/>
        </w:rPr>
        <w:t xml:space="preserve"> је следећа:</w:t>
      </w:r>
    </w:p>
    <w:p w:rsidR="005A77A9" w:rsidRPr="00594D6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594D69">
        <w:rPr>
          <w:rFonts w:ascii="Arial" w:hAnsi="Arial" w:cs="Arial"/>
          <w:bCs/>
          <w:sz w:val="22"/>
          <w:lang w:val="sr-Cyrl-CS"/>
        </w:rPr>
        <w:t xml:space="preserve">           </w:t>
      </w:r>
    </w:p>
    <w:tbl>
      <w:tblPr>
        <w:tblW w:w="962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1440"/>
        <w:gridCol w:w="700"/>
      </w:tblGrid>
      <w:tr w:rsidR="00BF0A42" w:rsidRPr="00594D69" w:rsidTr="00DD1D68">
        <w:trPr>
          <w:trHeight w:val="405"/>
        </w:trPr>
        <w:tc>
          <w:tcPr>
            <w:tcW w:w="7488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both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53" w:name="_Toc481062157"/>
            <w:bookmarkStart w:id="54" w:name="_Toc481062263"/>
            <w:bookmarkStart w:id="55" w:name="_Toc500762426"/>
            <w:r w:rsidRPr="00594D69">
              <w:rPr>
                <w:rFonts w:ascii="Arial" w:hAnsi="Arial" w:cs="Arial"/>
                <w:sz w:val="22"/>
                <w:lang w:val="sr-Cyrl-CS"/>
              </w:rPr>
              <w:t>Земљиште ......................................................................................</w:t>
            </w:r>
            <w:bookmarkEnd w:id="53"/>
            <w:bookmarkEnd w:id="54"/>
            <w:r w:rsidRPr="00594D69">
              <w:rPr>
                <w:rFonts w:ascii="Arial" w:hAnsi="Arial" w:cs="Arial"/>
                <w:sz w:val="22"/>
                <w:lang w:val="sr-Cyrl-CS"/>
              </w:rPr>
              <w:t>..........</w:t>
            </w:r>
            <w:bookmarkEnd w:id="55"/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BF0A42" w:rsidRPr="00594D69" w:rsidRDefault="00594D69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right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56" w:name="_Toc500762427"/>
            <w:r w:rsidRPr="00594D69">
              <w:rPr>
                <w:rFonts w:ascii="Arial" w:hAnsi="Arial" w:cs="Arial"/>
                <w:sz w:val="22"/>
                <w:lang w:val="sr-Cyrl-CS"/>
              </w:rPr>
              <w:t>2.040</w:t>
            </w:r>
            <w:r w:rsidR="00BF0A42" w:rsidRPr="00594D69">
              <w:rPr>
                <w:rFonts w:ascii="Arial" w:hAnsi="Arial" w:cs="Arial"/>
                <w:sz w:val="22"/>
                <w:lang w:val="sr-Cyrl-CS"/>
              </w:rPr>
              <w:t>.000</w:t>
            </w:r>
            <w:bookmarkEnd w:id="56"/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right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57" w:name="_Toc500762428"/>
            <w:r w:rsidRPr="00594D69">
              <w:rPr>
                <w:rFonts w:ascii="Arial" w:hAnsi="Arial" w:cs="Arial"/>
                <w:sz w:val="22"/>
                <w:lang w:val="sr-Cyrl-CS"/>
              </w:rPr>
              <w:t>1%</w:t>
            </w:r>
            <w:bookmarkEnd w:id="57"/>
          </w:p>
        </w:tc>
      </w:tr>
      <w:tr w:rsidR="00BF0A42" w:rsidRPr="00594D69" w:rsidTr="00DD1D68">
        <w:trPr>
          <w:trHeight w:val="360"/>
        </w:trPr>
        <w:tc>
          <w:tcPr>
            <w:tcW w:w="7488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both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58" w:name="_Toc481062158"/>
            <w:bookmarkStart w:id="59" w:name="_Toc481062264"/>
            <w:bookmarkStart w:id="60" w:name="_Toc500762429"/>
            <w:r w:rsidRPr="00594D69">
              <w:rPr>
                <w:rFonts w:ascii="Arial" w:hAnsi="Arial" w:cs="Arial"/>
                <w:sz w:val="22"/>
                <w:lang w:val="sr-Cyrl-CS"/>
              </w:rPr>
              <w:t>Грађевински објекти ................................................................................</w:t>
            </w:r>
            <w:bookmarkEnd w:id="58"/>
            <w:bookmarkEnd w:id="59"/>
            <w:bookmarkEnd w:id="60"/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BF0A42" w:rsidRPr="00594D69" w:rsidRDefault="00390ABA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right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61" w:name="_Toc500762430"/>
            <w:r w:rsidRPr="00594D69">
              <w:rPr>
                <w:rFonts w:ascii="Arial" w:hAnsi="Arial" w:cs="Arial"/>
                <w:sz w:val="22"/>
                <w:lang w:val="sr-Cyrl-CS"/>
              </w:rPr>
              <w:t>75</w:t>
            </w:r>
            <w:r w:rsidR="00BF0A42" w:rsidRPr="00594D69">
              <w:rPr>
                <w:rFonts w:ascii="Arial" w:hAnsi="Arial" w:cs="Arial"/>
                <w:sz w:val="22"/>
                <w:lang w:val="sr-Cyrl-CS"/>
              </w:rPr>
              <w:t>.000.000</w:t>
            </w:r>
            <w:bookmarkEnd w:id="61"/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F0A42" w:rsidRPr="00594D69" w:rsidRDefault="00594D69" w:rsidP="00BF0A4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9180"/>
              </w:tabs>
              <w:jc w:val="right"/>
              <w:outlineLvl w:val="1"/>
              <w:rPr>
                <w:rFonts w:ascii="Arial" w:hAnsi="Arial" w:cs="Arial"/>
                <w:sz w:val="22"/>
                <w:lang w:val="sr-Cyrl-CS"/>
              </w:rPr>
            </w:pPr>
            <w:bookmarkStart w:id="62" w:name="_Toc500762431"/>
            <w:r w:rsidRPr="00594D69">
              <w:rPr>
                <w:rFonts w:ascii="Arial" w:hAnsi="Arial" w:cs="Arial"/>
                <w:sz w:val="22"/>
                <w:lang w:val="sr-Cyrl-CS"/>
              </w:rPr>
              <w:t>32</w:t>
            </w:r>
            <w:r w:rsidR="00BF0A42" w:rsidRPr="00594D69">
              <w:rPr>
                <w:rFonts w:ascii="Arial" w:hAnsi="Arial" w:cs="Arial"/>
                <w:sz w:val="22"/>
                <w:lang w:val="sr-Cyrl-CS"/>
              </w:rPr>
              <w:t>%</w:t>
            </w:r>
            <w:bookmarkEnd w:id="62"/>
          </w:p>
        </w:tc>
      </w:tr>
      <w:tr w:rsidR="00BF0A42" w:rsidRPr="00594D69" w:rsidTr="00DD1D68">
        <w:trPr>
          <w:trHeight w:val="365"/>
        </w:trPr>
        <w:tc>
          <w:tcPr>
            <w:tcW w:w="7488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 xml:space="preserve">Опрема ....................................................................................................   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BF0A42" w:rsidRPr="00594D69" w:rsidRDefault="00594D69" w:rsidP="00594D69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156</w:t>
            </w:r>
            <w:r w:rsidR="00390ABA" w:rsidRPr="00594D69">
              <w:rPr>
                <w:rFonts w:ascii="Arial" w:hAnsi="Arial" w:cs="Arial"/>
                <w:sz w:val="22"/>
                <w:lang w:val="sr-Cyrl-CS"/>
              </w:rPr>
              <w:t>.</w:t>
            </w:r>
            <w:r w:rsidRPr="00594D69">
              <w:rPr>
                <w:rFonts w:ascii="Arial" w:hAnsi="Arial" w:cs="Arial"/>
                <w:sz w:val="22"/>
                <w:lang w:val="sr-Cyrl-CS"/>
              </w:rPr>
              <w:t>0</w:t>
            </w:r>
            <w:r w:rsidR="00390ABA" w:rsidRPr="00594D69">
              <w:rPr>
                <w:rFonts w:ascii="Arial" w:hAnsi="Arial" w:cs="Arial"/>
                <w:sz w:val="22"/>
                <w:lang w:val="sr-Cyrl-CS"/>
              </w:rPr>
              <w:t>00.000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66%</w:t>
            </w:r>
          </w:p>
        </w:tc>
      </w:tr>
      <w:tr w:rsidR="00BF0A42" w:rsidRPr="00C161F7" w:rsidTr="00DD1D68">
        <w:trPr>
          <w:trHeight w:val="432"/>
        </w:trPr>
        <w:tc>
          <w:tcPr>
            <w:tcW w:w="7488" w:type="dxa"/>
            <w:tcBorders>
              <w:bottom w:val="nil"/>
            </w:tcBorders>
            <w:vAlign w:val="center"/>
          </w:tcPr>
          <w:p w:rsidR="00BF0A42" w:rsidRPr="00594D69" w:rsidRDefault="00BF0A42" w:rsidP="00BF0A42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Аванси и стална средства у припреми ..................................................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BF0A42" w:rsidRPr="00594D69" w:rsidRDefault="00594D69" w:rsidP="00594D69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3</w:t>
            </w:r>
            <w:r w:rsidR="00390ABA" w:rsidRPr="00594D69">
              <w:rPr>
                <w:rFonts w:ascii="Arial" w:hAnsi="Arial" w:cs="Arial"/>
                <w:sz w:val="22"/>
                <w:lang w:val="sr-Cyrl-CS"/>
              </w:rPr>
              <w:t>.</w:t>
            </w:r>
            <w:r w:rsidRPr="00594D69">
              <w:rPr>
                <w:rFonts w:ascii="Arial" w:hAnsi="Arial" w:cs="Arial"/>
                <w:sz w:val="22"/>
                <w:lang w:val="sr-Cyrl-CS"/>
              </w:rPr>
              <w:t>9</w:t>
            </w:r>
            <w:r w:rsidR="00390ABA" w:rsidRPr="00594D69">
              <w:rPr>
                <w:rFonts w:ascii="Arial" w:hAnsi="Arial" w:cs="Arial"/>
                <w:sz w:val="22"/>
                <w:lang w:val="sr-Cyrl-CS"/>
              </w:rPr>
              <w:t>00.000</w:t>
            </w:r>
          </w:p>
        </w:tc>
        <w:tc>
          <w:tcPr>
            <w:tcW w:w="700" w:type="dxa"/>
            <w:tcBorders>
              <w:bottom w:val="nil"/>
            </w:tcBorders>
            <w:vAlign w:val="center"/>
          </w:tcPr>
          <w:p w:rsidR="00BF0A42" w:rsidRPr="00594D69" w:rsidRDefault="00594D69" w:rsidP="00BF0A42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1</w:t>
            </w:r>
            <w:r w:rsidR="00BF0A42" w:rsidRPr="00594D69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</w:tbl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BF0A42" w:rsidRPr="00C161F7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C161F7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594D69" w:rsidRDefault="00AA6D7F" w:rsidP="00AA6D7F">
      <w:pPr>
        <w:pStyle w:val="Caption"/>
        <w:rPr>
          <w:rFonts w:ascii="Arial" w:hAnsi="Arial" w:cs="Arial"/>
          <w:b w:val="0"/>
        </w:rPr>
      </w:pPr>
      <w:bookmarkStart w:id="63" w:name="_Toc500767365"/>
      <w:r w:rsidRPr="00594D69">
        <w:rPr>
          <w:rFonts w:ascii="Arial" w:hAnsi="Arial" w:cs="Arial"/>
          <w:b w:val="0"/>
        </w:rPr>
        <w:lastRenderedPageBreak/>
        <w:t xml:space="preserve">Графикон  </w:t>
      </w:r>
      <w:r w:rsidRPr="00594D69">
        <w:rPr>
          <w:rFonts w:ascii="Arial" w:hAnsi="Arial" w:cs="Arial"/>
          <w:b w:val="0"/>
        </w:rPr>
        <w:fldChar w:fldCharType="begin"/>
      </w:r>
      <w:r w:rsidRPr="00594D69">
        <w:rPr>
          <w:rFonts w:ascii="Arial" w:hAnsi="Arial" w:cs="Arial"/>
          <w:b w:val="0"/>
        </w:rPr>
        <w:instrText xml:space="preserve"> SEQ Графикон_ \* ARABIC </w:instrText>
      </w:r>
      <w:r w:rsidRPr="00594D69">
        <w:rPr>
          <w:rFonts w:ascii="Arial" w:hAnsi="Arial" w:cs="Arial"/>
          <w:b w:val="0"/>
        </w:rPr>
        <w:fldChar w:fldCharType="separate"/>
      </w:r>
      <w:r w:rsidR="00322822" w:rsidRPr="00594D69">
        <w:rPr>
          <w:rFonts w:ascii="Arial" w:hAnsi="Arial" w:cs="Arial"/>
          <w:b w:val="0"/>
          <w:noProof/>
        </w:rPr>
        <w:t>4</w:t>
      </w:r>
      <w:r w:rsidRPr="00594D69">
        <w:rPr>
          <w:rFonts w:ascii="Arial" w:hAnsi="Arial" w:cs="Arial"/>
          <w:b w:val="0"/>
        </w:rPr>
        <w:fldChar w:fldCharType="end"/>
      </w:r>
      <w:r w:rsidRPr="00594D69">
        <w:rPr>
          <w:rFonts w:ascii="Arial" w:hAnsi="Arial" w:cs="Arial"/>
          <w:b w:val="0"/>
          <w:lang w:val="sr-Cyrl-CS"/>
        </w:rPr>
        <w:t xml:space="preserve"> Структура планираних </w:t>
      </w:r>
      <w:r w:rsidR="00594D69" w:rsidRPr="00594D69">
        <w:rPr>
          <w:rFonts w:ascii="Arial" w:hAnsi="Arial" w:cs="Arial"/>
          <w:b w:val="0"/>
          <w:lang w:val="sr-Cyrl-CS"/>
        </w:rPr>
        <w:t>нематеријалних средстава за 2018</w:t>
      </w:r>
      <w:r w:rsidRPr="00594D69">
        <w:rPr>
          <w:rFonts w:ascii="Arial" w:hAnsi="Arial" w:cs="Arial"/>
          <w:b w:val="0"/>
          <w:lang w:val="sr-Cyrl-CS"/>
        </w:rPr>
        <w:t>. годину</w:t>
      </w:r>
      <w:bookmarkEnd w:id="63"/>
    </w:p>
    <w:p w:rsidR="00BF0A42" w:rsidRPr="00C161F7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  <w:r w:rsidRPr="00594D69">
        <w:rPr>
          <w:rFonts w:ascii="Arial" w:hAnsi="Arial" w:cs="Arial"/>
          <w:b w:val="0"/>
          <w:noProof/>
        </w:rPr>
        <w:drawing>
          <wp:inline distT="0" distB="0" distL="0" distR="0" wp14:anchorId="383F34DA" wp14:editId="6BDB5ACC">
            <wp:extent cx="5629275" cy="3371850"/>
            <wp:effectExtent l="0" t="0" r="9525" b="1905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F0A42" w:rsidRPr="00C161F7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BF0A42" w:rsidRPr="00C161F7" w:rsidRDefault="00BF0A42" w:rsidP="00A95DD7">
      <w:pPr>
        <w:pStyle w:val="Caption"/>
        <w:rPr>
          <w:rFonts w:ascii="Arial" w:hAnsi="Arial" w:cs="Arial"/>
          <w:b w:val="0"/>
          <w:highlight w:val="yellow"/>
        </w:rPr>
      </w:pPr>
    </w:p>
    <w:p w:rsidR="00631D71" w:rsidRPr="00C161F7" w:rsidRDefault="00631D71" w:rsidP="00631D71">
      <w:pPr>
        <w:pStyle w:val="Caption"/>
        <w:rPr>
          <w:rFonts w:ascii="Arial" w:hAnsi="Arial" w:cs="Arial"/>
          <w:b w:val="0"/>
          <w:highlight w:val="yellow"/>
        </w:rPr>
      </w:pPr>
    </w:p>
    <w:p w:rsidR="005E230A" w:rsidRPr="00594D69" w:rsidRDefault="00AA6D7F" w:rsidP="00AA6D7F">
      <w:pPr>
        <w:pStyle w:val="Caption"/>
        <w:rPr>
          <w:rFonts w:ascii="Arial" w:hAnsi="Arial" w:cs="Arial"/>
          <w:b w:val="0"/>
          <w:lang w:val="sr-Cyrl-BA"/>
        </w:rPr>
      </w:pPr>
      <w:bookmarkStart w:id="64" w:name="_Toc500767366"/>
      <w:r w:rsidRPr="00594D69">
        <w:rPr>
          <w:rFonts w:ascii="Arial" w:hAnsi="Arial" w:cs="Arial"/>
          <w:b w:val="0"/>
        </w:rPr>
        <w:t xml:space="preserve">Графикон  </w:t>
      </w:r>
      <w:r w:rsidRPr="00594D69">
        <w:rPr>
          <w:rFonts w:ascii="Arial" w:hAnsi="Arial" w:cs="Arial"/>
          <w:b w:val="0"/>
        </w:rPr>
        <w:fldChar w:fldCharType="begin"/>
      </w:r>
      <w:r w:rsidRPr="00594D69">
        <w:rPr>
          <w:rFonts w:ascii="Arial" w:hAnsi="Arial" w:cs="Arial"/>
          <w:b w:val="0"/>
        </w:rPr>
        <w:instrText xml:space="preserve"> SEQ Графикон_ \* ARABIC </w:instrText>
      </w:r>
      <w:r w:rsidRPr="00594D69">
        <w:rPr>
          <w:rFonts w:ascii="Arial" w:hAnsi="Arial" w:cs="Arial"/>
          <w:b w:val="0"/>
        </w:rPr>
        <w:fldChar w:fldCharType="separate"/>
      </w:r>
      <w:r w:rsidR="00322822" w:rsidRPr="00594D69">
        <w:rPr>
          <w:rFonts w:ascii="Arial" w:hAnsi="Arial" w:cs="Arial"/>
          <w:b w:val="0"/>
          <w:noProof/>
        </w:rPr>
        <w:t>5</w:t>
      </w:r>
      <w:r w:rsidRPr="00594D69">
        <w:rPr>
          <w:rFonts w:ascii="Arial" w:hAnsi="Arial" w:cs="Arial"/>
          <w:b w:val="0"/>
        </w:rPr>
        <w:fldChar w:fldCharType="end"/>
      </w:r>
      <w:r w:rsidRPr="00594D69">
        <w:rPr>
          <w:rFonts w:ascii="Arial" w:hAnsi="Arial" w:cs="Arial"/>
          <w:b w:val="0"/>
          <w:lang w:val="sr-Cyrl-CS"/>
        </w:rPr>
        <w:t xml:space="preserve"> Структура план</w:t>
      </w:r>
      <w:r w:rsidR="00594D69" w:rsidRPr="00594D69">
        <w:rPr>
          <w:rFonts w:ascii="Arial" w:hAnsi="Arial" w:cs="Arial"/>
          <w:b w:val="0"/>
          <w:lang w:val="sr-Cyrl-CS"/>
        </w:rPr>
        <w:t>ираних основних срестава за 2018</w:t>
      </w:r>
      <w:r w:rsidRPr="00594D69">
        <w:rPr>
          <w:rFonts w:ascii="Arial" w:hAnsi="Arial" w:cs="Arial"/>
          <w:b w:val="0"/>
          <w:lang w:val="sr-Cyrl-CS"/>
        </w:rPr>
        <w:t>. годину</w:t>
      </w:r>
      <w:bookmarkEnd w:id="64"/>
    </w:p>
    <w:p w:rsidR="000E6101" w:rsidRPr="00C161F7" w:rsidRDefault="00A95DD7" w:rsidP="00864944">
      <w:pPr>
        <w:spacing w:after="200" w:line="276" w:lineRule="auto"/>
        <w:jc w:val="center"/>
        <w:rPr>
          <w:rFonts w:ascii="Arial" w:hAnsi="Arial" w:cs="Arial"/>
          <w:iCs/>
          <w:sz w:val="22"/>
          <w:highlight w:val="yellow"/>
          <w:lang w:val="sr-Cyrl-RS"/>
        </w:rPr>
      </w:pPr>
      <w:r w:rsidRPr="00C161F7">
        <w:rPr>
          <w:rFonts w:ascii="Arial" w:hAnsi="Arial" w:cs="Arial"/>
          <w:iCs/>
          <w:noProof/>
          <w:sz w:val="22"/>
          <w:highlight w:val="yellow"/>
        </w:rPr>
        <w:drawing>
          <wp:inline distT="0" distB="0" distL="0" distR="0" wp14:anchorId="59372883" wp14:editId="341A12B7">
            <wp:extent cx="5819775" cy="295275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0E6101" w:rsidRPr="00C161F7">
        <w:rPr>
          <w:rFonts w:ascii="Arial" w:hAnsi="Arial" w:cs="Arial"/>
          <w:iCs/>
          <w:sz w:val="22"/>
          <w:highlight w:val="yellow"/>
          <w:lang w:val="sr-Latn-RS"/>
        </w:rPr>
        <w:br w:type="page"/>
      </w:r>
    </w:p>
    <w:p w:rsidR="005A77A9" w:rsidRPr="00594D69" w:rsidRDefault="005A77A9" w:rsidP="00857DF2">
      <w:pPr>
        <w:keepNext/>
        <w:jc w:val="both"/>
        <w:outlineLvl w:val="0"/>
        <w:rPr>
          <w:rFonts w:ascii="Arial" w:hAnsi="Arial" w:cs="Arial"/>
          <w:iCs/>
          <w:sz w:val="22"/>
          <w:lang w:val="sr-Cyrl-RS"/>
        </w:rPr>
      </w:pPr>
      <w:bookmarkStart w:id="65" w:name="_Toc481062159"/>
      <w:bookmarkStart w:id="66" w:name="_Toc481062265"/>
      <w:bookmarkStart w:id="67" w:name="_Toc500762432"/>
      <w:r w:rsidRPr="00594D69">
        <w:rPr>
          <w:rFonts w:ascii="Arial" w:hAnsi="Arial" w:cs="Arial"/>
          <w:iCs/>
          <w:sz w:val="22"/>
          <w:lang w:val="sr-Cyrl-CS"/>
        </w:rPr>
        <w:lastRenderedPageBreak/>
        <w:t xml:space="preserve">Структура планираних обртних средстава </w:t>
      </w:r>
      <w:r w:rsidRPr="00594D69">
        <w:rPr>
          <w:rFonts w:ascii="Arial" w:hAnsi="Arial" w:cs="Arial"/>
          <w:iCs/>
          <w:sz w:val="22"/>
        </w:rPr>
        <w:t>у 201</w:t>
      </w:r>
      <w:r w:rsidR="00594D69" w:rsidRPr="00594D69">
        <w:rPr>
          <w:rFonts w:ascii="Arial" w:hAnsi="Arial" w:cs="Arial"/>
          <w:iCs/>
          <w:sz w:val="22"/>
          <w:lang w:val="sr-Cyrl-BA"/>
        </w:rPr>
        <w:t>8</w:t>
      </w:r>
      <w:r w:rsidRPr="00594D69">
        <w:rPr>
          <w:rFonts w:ascii="Arial" w:hAnsi="Arial" w:cs="Arial"/>
          <w:iCs/>
          <w:sz w:val="22"/>
        </w:rPr>
        <w:t xml:space="preserve">. </w:t>
      </w:r>
      <w:r w:rsidRPr="00594D69">
        <w:rPr>
          <w:rFonts w:ascii="Arial" w:hAnsi="Arial" w:cs="Arial"/>
          <w:iCs/>
          <w:sz w:val="22"/>
          <w:lang w:val="sr-Cyrl-RS"/>
        </w:rPr>
        <w:t>г</w:t>
      </w:r>
      <w:r w:rsidRPr="00594D69">
        <w:rPr>
          <w:rFonts w:ascii="Arial" w:hAnsi="Arial" w:cs="Arial"/>
          <w:iCs/>
          <w:sz w:val="22"/>
        </w:rPr>
        <w:t>одини</w:t>
      </w:r>
      <w:r w:rsidRPr="00594D69">
        <w:rPr>
          <w:rFonts w:ascii="Arial" w:hAnsi="Arial" w:cs="Arial"/>
          <w:iCs/>
          <w:sz w:val="22"/>
          <w:lang w:val="sr-Cyrl-RS"/>
        </w:rPr>
        <w:t>:</w:t>
      </w:r>
      <w:bookmarkEnd w:id="65"/>
      <w:bookmarkEnd w:id="66"/>
      <w:bookmarkEnd w:id="67"/>
    </w:p>
    <w:p w:rsidR="00B1333A" w:rsidRPr="00594D69" w:rsidRDefault="00B1333A" w:rsidP="00857DF2">
      <w:pPr>
        <w:keepNext/>
        <w:jc w:val="both"/>
        <w:outlineLvl w:val="0"/>
        <w:rPr>
          <w:rFonts w:ascii="Arial" w:hAnsi="Arial" w:cs="Arial"/>
          <w:iCs/>
          <w:sz w:val="22"/>
          <w:lang w:val="sr-Cyrl-RS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7453"/>
        <w:gridCol w:w="1343"/>
        <w:gridCol w:w="985"/>
      </w:tblGrid>
      <w:tr w:rsidR="00B1333A" w:rsidRPr="00594D69" w:rsidTr="00B1333A">
        <w:trPr>
          <w:trHeight w:val="524"/>
        </w:trPr>
        <w:tc>
          <w:tcPr>
            <w:tcW w:w="7453" w:type="dxa"/>
          </w:tcPr>
          <w:p w:rsidR="00B1333A" w:rsidRPr="00594D69" w:rsidRDefault="00B1333A" w:rsidP="00EE7C7E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Залихе ........................................................................................................</w:t>
            </w:r>
          </w:p>
        </w:tc>
        <w:tc>
          <w:tcPr>
            <w:tcW w:w="1343" w:type="dxa"/>
            <w:vAlign w:val="center"/>
          </w:tcPr>
          <w:p w:rsidR="00B1333A" w:rsidRPr="00594D69" w:rsidRDefault="00594D69" w:rsidP="004B4BF8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5.480</w:t>
            </w:r>
            <w:r w:rsidR="004B4BF8" w:rsidRPr="00594D69">
              <w:rPr>
                <w:rFonts w:ascii="Arial" w:hAnsi="Arial" w:cs="Arial"/>
                <w:sz w:val="22"/>
                <w:lang w:val="sr-Cyrl-CS"/>
              </w:rPr>
              <w:t>.000</w:t>
            </w:r>
          </w:p>
        </w:tc>
        <w:tc>
          <w:tcPr>
            <w:tcW w:w="985" w:type="dxa"/>
            <w:vAlign w:val="center"/>
          </w:tcPr>
          <w:p w:rsidR="00B1333A" w:rsidRPr="00594D69" w:rsidRDefault="004B4BF8" w:rsidP="004B4BF8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1</w:t>
            </w:r>
            <w:r w:rsidR="00594D69" w:rsidRPr="00594D69">
              <w:rPr>
                <w:rFonts w:ascii="Arial" w:hAnsi="Arial" w:cs="Arial"/>
                <w:sz w:val="22"/>
                <w:lang w:val="sr-Cyrl-CS"/>
              </w:rPr>
              <w:t>8</w:t>
            </w:r>
            <w:r w:rsidR="00B1333A" w:rsidRPr="00594D69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  <w:tr w:rsidR="00B1333A" w:rsidRPr="00594D69" w:rsidTr="00B1333A">
        <w:trPr>
          <w:trHeight w:val="524"/>
        </w:trPr>
        <w:tc>
          <w:tcPr>
            <w:tcW w:w="7453" w:type="dxa"/>
          </w:tcPr>
          <w:p w:rsidR="00B1333A" w:rsidRPr="00594D69" w:rsidRDefault="00B1333A" w:rsidP="00EE7C7E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Краткорочна потраживања и пласмани ...................................................</w:t>
            </w:r>
          </w:p>
        </w:tc>
        <w:tc>
          <w:tcPr>
            <w:tcW w:w="1343" w:type="dxa"/>
            <w:vAlign w:val="center"/>
          </w:tcPr>
          <w:p w:rsidR="00B1333A" w:rsidRPr="00594D69" w:rsidRDefault="00594D69" w:rsidP="00594D69">
            <w:pPr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24.667</w:t>
            </w:r>
            <w:r w:rsidR="004B4BF8" w:rsidRPr="00594D69">
              <w:rPr>
                <w:rFonts w:ascii="Arial" w:hAnsi="Arial" w:cs="Arial"/>
                <w:sz w:val="22"/>
                <w:lang w:val="sr-Cyrl-CS"/>
              </w:rPr>
              <w:t>.0</w:t>
            </w:r>
            <w:r w:rsidRPr="00594D69">
              <w:rPr>
                <w:rFonts w:ascii="Arial" w:hAnsi="Arial" w:cs="Arial"/>
                <w:sz w:val="22"/>
                <w:lang w:val="sr-Cyrl-CS"/>
              </w:rPr>
              <w:t>00</w:t>
            </w:r>
          </w:p>
        </w:tc>
        <w:tc>
          <w:tcPr>
            <w:tcW w:w="985" w:type="dxa"/>
            <w:vAlign w:val="center"/>
          </w:tcPr>
          <w:p w:rsidR="00B1333A" w:rsidRPr="00594D69" w:rsidRDefault="00594D69" w:rsidP="00B1333A">
            <w:pPr>
              <w:jc w:val="right"/>
              <w:rPr>
                <w:rFonts w:ascii="Arial" w:hAnsi="Arial" w:cs="Arial"/>
                <w:sz w:val="22"/>
                <w:lang w:val="sr-Cyrl-CS"/>
              </w:rPr>
            </w:pPr>
            <w:r w:rsidRPr="00594D69">
              <w:rPr>
                <w:rFonts w:ascii="Arial" w:hAnsi="Arial" w:cs="Arial"/>
                <w:sz w:val="22"/>
                <w:lang w:val="sr-Cyrl-CS"/>
              </w:rPr>
              <w:t>82</w:t>
            </w:r>
            <w:r w:rsidR="00B1333A" w:rsidRPr="00594D69">
              <w:rPr>
                <w:rFonts w:ascii="Arial" w:hAnsi="Arial" w:cs="Arial"/>
                <w:sz w:val="22"/>
                <w:lang w:val="sr-Cyrl-CS"/>
              </w:rPr>
              <w:t>%</w:t>
            </w:r>
          </w:p>
        </w:tc>
      </w:tr>
    </w:tbl>
    <w:p w:rsidR="005A77A9" w:rsidRPr="00594D69" w:rsidRDefault="005A77A9" w:rsidP="005A77A9">
      <w:pPr>
        <w:rPr>
          <w:lang w:val="sr-Cyrl-RS"/>
        </w:rPr>
      </w:pPr>
    </w:p>
    <w:p w:rsidR="005A77A9" w:rsidRPr="00594D69" w:rsidRDefault="005A77A9" w:rsidP="005A77A9">
      <w:pPr>
        <w:keepNext/>
        <w:jc w:val="both"/>
        <w:outlineLvl w:val="0"/>
        <w:rPr>
          <w:rFonts w:ascii="Arial" w:hAnsi="Arial" w:cs="Arial"/>
          <w:sz w:val="22"/>
          <w:lang w:val="sr-Cyrl-CS"/>
        </w:rPr>
      </w:pPr>
      <w:r w:rsidRPr="00594D69">
        <w:rPr>
          <w:rFonts w:ascii="Arial" w:hAnsi="Arial" w:cs="Arial"/>
          <w:sz w:val="22"/>
          <w:lang w:val="sr-Cyrl-CS"/>
        </w:rPr>
        <w:t xml:space="preserve"> </w:t>
      </w:r>
    </w:p>
    <w:p w:rsidR="002B5853" w:rsidRPr="00594D69" w:rsidRDefault="001C5E8B" w:rsidP="001C5E8B">
      <w:pPr>
        <w:pStyle w:val="Caption"/>
        <w:rPr>
          <w:rFonts w:ascii="Arial" w:hAnsi="Arial" w:cs="Arial"/>
          <w:b w:val="0"/>
          <w:sz w:val="22"/>
          <w:lang w:val="sr-Cyrl-CS"/>
        </w:rPr>
      </w:pPr>
      <w:bookmarkStart w:id="68" w:name="_Toc500767367"/>
      <w:r w:rsidRPr="00594D69">
        <w:rPr>
          <w:rFonts w:ascii="Arial" w:hAnsi="Arial" w:cs="Arial"/>
          <w:b w:val="0"/>
        </w:rPr>
        <w:t xml:space="preserve">Графикон  </w:t>
      </w:r>
      <w:r w:rsidRPr="00594D69">
        <w:rPr>
          <w:rFonts w:ascii="Arial" w:hAnsi="Arial" w:cs="Arial"/>
          <w:b w:val="0"/>
        </w:rPr>
        <w:fldChar w:fldCharType="begin"/>
      </w:r>
      <w:r w:rsidRPr="00594D69">
        <w:rPr>
          <w:rFonts w:ascii="Arial" w:hAnsi="Arial" w:cs="Arial"/>
          <w:b w:val="0"/>
        </w:rPr>
        <w:instrText xml:space="preserve"> SEQ Графикон_ \* ARABIC </w:instrText>
      </w:r>
      <w:r w:rsidRPr="00594D69">
        <w:rPr>
          <w:rFonts w:ascii="Arial" w:hAnsi="Arial" w:cs="Arial"/>
          <w:b w:val="0"/>
        </w:rPr>
        <w:fldChar w:fldCharType="separate"/>
      </w:r>
      <w:r w:rsidR="00322822" w:rsidRPr="00594D69">
        <w:rPr>
          <w:rFonts w:ascii="Arial" w:hAnsi="Arial" w:cs="Arial"/>
          <w:b w:val="0"/>
          <w:noProof/>
        </w:rPr>
        <w:t>6</w:t>
      </w:r>
      <w:r w:rsidRPr="00594D69">
        <w:rPr>
          <w:rFonts w:ascii="Arial" w:hAnsi="Arial" w:cs="Arial"/>
          <w:b w:val="0"/>
        </w:rPr>
        <w:fldChar w:fldCharType="end"/>
      </w:r>
      <w:r w:rsidRPr="00594D69">
        <w:rPr>
          <w:rFonts w:ascii="Arial" w:hAnsi="Arial" w:cs="Arial"/>
          <w:b w:val="0"/>
          <w:lang w:val="sr-Cyrl-CS"/>
        </w:rPr>
        <w:t xml:space="preserve"> Планирана стр</w:t>
      </w:r>
      <w:r w:rsidR="00594D69" w:rsidRPr="00594D69">
        <w:rPr>
          <w:rFonts w:ascii="Arial" w:hAnsi="Arial" w:cs="Arial"/>
          <w:b w:val="0"/>
          <w:lang w:val="sr-Cyrl-CS"/>
        </w:rPr>
        <w:t>уктура обртних средстава за 2018</w:t>
      </w:r>
      <w:r w:rsidRPr="00594D69">
        <w:rPr>
          <w:rFonts w:ascii="Arial" w:hAnsi="Arial" w:cs="Arial"/>
          <w:b w:val="0"/>
          <w:lang w:val="sr-Cyrl-CS"/>
        </w:rPr>
        <w:t>. годину</w:t>
      </w:r>
      <w:bookmarkEnd w:id="68"/>
    </w:p>
    <w:p w:rsidR="00B1333A" w:rsidRPr="00594D69" w:rsidRDefault="00B1333A" w:rsidP="00B1333A">
      <w:pPr>
        <w:pStyle w:val="Heading2"/>
        <w:ind w:left="720"/>
        <w:jc w:val="left"/>
        <w:rPr>
          <w:rFonts w:ascii="Arial" w:hAnsi="Arial" w:cs="Arial"/>
          <w:sz w:val="22"/>
          <w:u w:val="single"/>
        </w:rPr>
      </w:pPr>
    </w:p>
    <w:p w:rsidR="005A77A9" w:rsidRPr="0084248D" w:rsidRDefault="002B5853" w:rsidP="00B1333A">
      <w:pPr>
        <w:pStyle w:val="Heading2"/>
        <w:jc w:val="left"/>
        <w:rPr>
          <w:rFonts w:ascii="Arial" w:hAnsi="Arial" w:cs="Arial"/>
          <w:sz w:val="22"/>
        </w:rPr>
      </w:pPr>
      <w:bookmarkStart w:id="69" w:name="_Toc500762433"/>
      <w:r w:rsidRPr="00C161F7">
        <w:rPr>
          <w:rFonts w:ascii="Arial" w:hAnsi="Arial" w:cs="Arial"/>
          <w:noProof/>
          <w:sz w:val="22"/>
          <w:highlight w:val="yellow"/>
          <w:lang w:val="en-US"/>
        </w:rPr>
        <w:drawing>
          <wp:inline distT="0" distB="0" distL="0" distR="0" wp14:anchorId="674CCA40" wp14:editId="07F7D5F1">
            <wp:extent cx="5895975" cy="3124200"/>
            <wp:effectExtent l="0" t="0" r="9525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5A77A9" w:rsidRPr="00C161F7">
        <w:rPr>
          <w:highlight w:val="yellow"/>
        </w:rPr>
        <w:br w:type="page"/>
      </w:r>
      <w:bookmarkStart w:id="70" w:name="_Toc481062266"/>
      <w:r w:rsidR="005A77A9" w:rsidRPr="0084248D">
        <w:rPr>
          <w:rFonts w:ascii="Arial" w:hAnsi="Arial" w:cs="Arial"/>
          <w:noProof/>
          <w:sz w:val="2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D7261D" wp14:editId="5DDDFCC7">
                <wp:simplePos x="0" y="0"/>
                <wp:positionH relativeFrom="column">
                  <wp:posOffset>2628900</wp:posOffset>
                </wp:positionH>
                <wp:positionV relativeFrom="paragraph">
                  <wp:posOffset>639445</wp:posOffset>
                </wp:positionV>
                <wp:extent cx="342900" cy="342900"/>
                <wp:effectExtent l="0" t="0" r="254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9C6" w:rsidRDefault="00B129C6" w:rsidP="005A77A9">
                            <w:pPr>
                              <w:rPr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07pt;margin-top:50.3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KIswIAAL8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" filled="f" stroked="f">
                <v:textbox>
                  <w:txbxContent>
                    <w:p w:rsidR="00B129C6" w:rsidRDefault="00B129C6" w:rsidP="005A77A9">
                      <w:pPr>
                        <w:rPr>
                          <w:lang w:val="sr-Cyrl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77A9" w:rsidRPr="0084248D">
        <w:rPr>
          <w:rFonts w:ascii="Arial" w:hAnsi="Arial" w:cs="Arial"/>
          <w:sz w:val="22"/>
        </w:rPr>
        <w:t xml:space="preserve"> </w:t>
      </w:r>
      <w:r w:rsidR="00B1333A" w:rsidRPr="0084248D">
        <w:rPr>
          <w:rFonts w:ascii="Arial" w:hAnsi="Arial" w:cs="Arial"/>
          <w:sz w:val="22"/>
          <w:lang w:val="sr-Cyrl-BA"/>
        </w:rPr>
        <w:t xml:space="preserve">2. </w:t>
      </w:r>
      <w:r w:rsidR="00593174" w:rsidRPr="0084248D">
        <w:rPr>
          <w:rFonts w:ascii="Arial" w:hAnsi="Arial" w:cs="Arial"/>
          <w:sz w:val="22"/>
          <w:u w:val="single"/>
          <w:lang w:val="sr-Cyrl-BA"/>
        </w:rPr>
        <w:t>Ребаланс</w:t>
      </w:r>
      <w:r w:rsidR="005222AB" w:rsidRPr="0084248D">
        <w:rPr>
          <w:rFonts w:ascii="Arial" w:hAnsi="Arial" w:cs="Arial"/>
          <w:sz w:val="22"/>
          <w:u w:val="single"/>
          <w:lang w:val="sr-Cyrl-BA"/>
        </w:rPr>
        <w:t xml:space="preserve"> </w:t>
      </w:r>
      <w:r w:rsidR="001E1663">
        <w:rPr>
          <w:rFonts w:ascii="Arial" w:hAnsi="Arial" w:cs="Arial"/>
          <w:sz w:val="22"/>
          <w:u w:val="single"/>
          <w:lang w:val="sr-Cyrl-BA"/>
        </w:rPr>
        <w:t>биланса стања предузећа п</w:t>
      </w:r>
      <w:r w:rsidR="001E1663">
        <w:rPr>
          <w:rFonts w:ascii="Arial" w:hAnsi="Arial" w:cs="Arial"/>
          <w:sz w:val="22"/>
          <w:u w:val="single"/>
        </w:rPr>
        <w:t>асива</w:t>
      </w:r>
      <w:r w:rsidR="005A77A9" w:rsidRPr="0084248D">
        <w:rPr>
          <w:rFonts w:ascii="Arial" w:hAnsi="Arial" w:cs="Arial"/>
          <w:sz w:val="22"/>
          <w:u w:val="single"/>
        </w:rPr>
        <w:t xml:space="preserve"> за 201</w:t>
      </w:r>
      <w:r w:rsidR="00774CC1" w:rsidRPr="0084248D">
        <w:rPr>
          <w:rFonts w:ascii="Arial" w:hAnsi="Arial" w:cs="Arial"/>
          <w:sz w:val="22"/>
          <w:u w:val="single"/>
          <w:lang w:val="sr-Cyrl-BA"/>
        </w:rPr>
        <w:t>8</w:t>
      </w:r>
      <w:r w:rsidR="005A77A9" w:rsidRPr="0084248D">
        <w:rPr>
          <w:rFonts w:ascii="Arial" w:hAnsi="Arial" w:cs="Arial"/>
          <w:sz w:val="22"/>
          <w:u w:val="single"/>
        </w:rPr>
        <w:t>. годину</w:t>
      </w:r>
      <w:bookmarkEnd w:id="69"/>
      <w:bookmarkEnd w:id="70"/>
      <w:r w:rsidR="005A77A9" w:rsidRPr="0084248D">
        <w:rPr>
          <w:rFonts w:ascii="Arial" w:hAnsi="Arial" w:cs="Arial"/>
          <w:sz w:val="22"/>
        </w:rPr>
        <w:t xml:space="preserve"> </w:t>
      </w:r>
    </w:p>
    <w:p w:rsidR="00F2066C" w:rsidRPr="0084248D" w:rsidRDefault="00F2066C" w:rsidP="00F2066C">
      <w:pPr>
        <w:pStyle w:val="Caption"/>
        <w:keepNext/>
      </w:pPr>
    </w:p>
    <w:p w:rsidR="00F2066C" w:rsidRPr="0084248D" w:rsidRDefault="001C5E8B" w:rsidP="001C5E8B">
      <w:pPr>
        <w:pStyle w:val="Caption"/>
        <w:rPr>
          <w:rFonts w:ascii="Arial" w:hAnsi="Arial" w:cs="Arial"/>
          <w:b w:val="0"/>
          <w:lang w:val="sr-Cyrl-BA"/>
        </w:rPr>
      </w:pPr>
      <w:bookmarkStart w:id="71" w:name="_Toc500767358"/>
      <w:r w:rsidRPr="0084248D">
        <w:rPr>
          <w:rFonts w:ascii="Arial" w:hAnsi="Arial" w:cs="Arial"/>
          <w:b w:val="0"/>
        </w:rPr>
        <w:t xml:space="preserve">Табела </w:t>
      </w:r>
      <w:r w:rsidRPr="0084248D">
        <w:rPr>
          <w:rFonts w:ascii="Arial" w:hAnsi="Arial" w:cs="Arial"/>
          <w:b w:val="0"/>
        </w:rPr>
        <w:fldChar w:fldCharType="begin"/>
      </w:r>
      <w:r w:rsidRPr="0084248D">
        <w:rPr>
          <w:rFonts w:ascii="Arial" w:hAnsi="Arial" w:cs="Arial"/>
          <w:b w:val="0"/>
        </w:rPr>
        <w:instrText xml:space="preserve"> SEQ Табела \* ARABIC </w:instrText>
      </w:r>
      <w:r w:rsidRPr="0084248D">
        <w:rPr>
          <w:rFonts w:ascii="Arial" w:hAnsi="Arial" w:cs="Arial"/>
          <w:b w:val="0"/>
        </w:rPr>
        <w:fldChar w:fldCharType="separate"/>
      </w:r>
      <w:r w:rsidR="00322822" w:rsidRPr="0084248D">
        <w:rPr>
          <w:rFonts w:ascii="Arial" w:hAnsi="Arial" w:cs="Arial"/>
          <w:b w:val="0"/>
          <w:noProof/>
        </w:rPr>
        <w:t>9</w:t>
      </w:r>
      <w:r w:rsidRPr="0084248D">
        <w:rPr>
          <w:rFonts w:ascii="Arial" w:hAnsi="Arial" w:cs="Arial"/>
          <w:b w:val="0"/>
        </w:rPr>
        <w:fldChar w:fldCharType="end"/>
      </w:r>
      <w:r w:rsidRPr="0084248D">
        <w:rPr>
          <w:rFonts w:ascii="Arial" w:hAnsi="Arial" w:cs="Arial"/>
          <w:b w:val="0"/>
          <w:lang w:val="sr-Cyrl-BA"/>
        </w:rPr>
        <w:t xml:space="preserve"> Ребаланс биланса стања – ПАСИВА</w:t>
      </w:r>
      <w:bookmarkEnd w:id="71"/>
    </w:p>
    <w:tbl>
      <w:tblPr>
        <w:tblW w:w="11233" w:type="dxa"/>
        <w:tblInd w:w="-612" w:type="dxa"/>
        <w:tblLook w:val="04A0" w:firstRow="1" w:lastRow="0" w:firstColumn="1" w:lastColumn="0" w:noHBand="0" w:noVBand="1"/>
      </w:tblPr>
      <w:tblGrid>
        <w:gridCol w:w="5220"/>
        <w:gridCol w:w="1440"/>
        <w:gridCol w:w="1440"/>
        <w:gridCol w:w="1350"/>
        <w:gridCol w:w="900"/>
        <w:gridCol w:w="883"/>
      </w:tblGrid>
      <w:tr w:rsidR="00774CC1" w:rsidRPr="00EE0129" w:rsidTr="00EE0129">
        <w:trPr>
          <w:trHeight w:val="790"/>
        </w:trPr>
        <w:tc>
          <w:tcPr>
            <w:tcW w:w="5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И З В О Р И    С Р Е Д С Т А В А 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РЕБАЛАНС 2018.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ПЛАН 2018.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На дан 31.12.2017.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Индекс   2/3</w:t>
            </w:r>
          </w:p>
        </w:tc>
        <w:tc>
          <w:tcPr>
            <w:tcW w:w="8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Индекс   2/4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A.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175.846.165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175.756.112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175.598.141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 ОСНОВНИ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Акцијски капитал - обичне акције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38.486.953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 УПИСАНИ НЕУПЛАЋЕНИ КАПИТАЛ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III ЕМИСИОНА ПРЕМИЈА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IV РЕЗЕРВЕ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5.042.413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5.035.000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5.042.413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Законске резерве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3.519.780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3.515.000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3.519.780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 Статутарне и друге резерве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1.522.633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1.520.000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1.522.633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 РЕВАЛОРИЗАЦИОНЕ РЕЗЕРВЕ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104.133.381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107.000.000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104.133.381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VI НЕРАСПОРЕЂЕНИ ДОБИТАК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28.183.418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25.234.159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27.935.394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101</w:t>
            </w:r>
          </w:p>
        </w:tc>
      </w:tr>
      <w:tr w:rsidR="00774CC1" w:rsidRPr="00EE0129" w:rsidTr="00800D70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Нераспоређени добитак ранијих година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27.913.579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24.216.418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27.372.058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102</w:t>
            </w:r>
          </w:p>
        </w:tc>
      </w:tr>
      <w:tr w:rsidR="00774CC1" w:rsidRPr="00EE0129" w:rsidTr="00800D70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 Нераспоређени добитак текуће године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269.839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1.017.741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563.336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774CC1" w:rsidRPr="00EE0129" w:rsidTr="00800D70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VII ГУБИТАК ДО ВИСИНЕ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774CC1" w:rsidRPr="00EE0129" w:rsidTr="00800D70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Б. ДУГОРОЧНА РЕЗЕРВИСАЊА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47.816.000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39.158.535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48.560.138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98</w:t>
            </w:r>
          </w:p>
        </w:tc>
      </w:tr>
      <w:tr w:rsidR="00774CC1" w:rsidRPr="00EE0129" w:rsidTr="00D233A6">
        <w:trPr>
          <w:trHeight w:val="25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За накнаде и бенефиције запослених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844.000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957.626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88</w:t>
            </w:r>
          </w:p>
        </w:tc>
      </w:tr>
      <w:tr w:rsidR="00774CC1" w:rsidRPr="00EE0129" w:rsidTr="00D233A6">
        <w:trPr>
          <w:trHeight w:val="25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 Одложене пореске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11.694.000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12.800.000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11.694.395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D233A6">
        <w:trPr>
          <w:trHeight w:val="25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 Разграничени приходи и примљене донације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34.108.000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21.158.535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34.526.316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99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4. Остала дугорочна резервисања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1.170.000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3.800.000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1.381.801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774CC1" w:rsidRPr="00EE0129" w:rsidTr="00D233A6">
        <w:trPr>
          <w:trHeight w:val="232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В.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51.476.686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53.923.000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54.518.895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94</w:t>
            </w:r>
          </w:p>
        </w:tc>
      </w:tr>
      <w:tr w:rsidR="00774CC1" w:rsidRPr="00EE0129" w:rsidTr="00D233A6">
        <w:trPr>
          <w:trHeight w:val="1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 ДУГОРОЧНЕ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15.100.000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15.850.000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15.597.441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774CC1" w:rsidRPr="00EE0129" w:rsidTr="00D233A6">
        <w:trPr>
          <w:trHeight w:val="187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Дугорочни кредити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15.100.000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15.850.000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15.597.441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97</w:t>
            </w:r>
          </w:p>
        </w:tc>
      </w:tr>
      <w:tr w:rsidR="00774CC1" w:rsidRPr="00EE0129" w:rsidTr="00D233A6">
        <w:trPr>
          <w:trHeight w:val="20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 Финансијски лизинг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774CC1" w:rsidRPr="00EE0129" w:rsidTr="00D233A6">
        <w:trPr>
          <w:trHeight w:val="133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 Одложене пореске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#DIV/0!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#DIV/0!</w:t>
            </w:r>
          </w:p>
        </w:tc>
      </w:tr>
      <w:tr w:rsidR="00774CC1" w:rsidRPr="00EE0129" w:rsidTr="00D233A6">
        <w:trPr>
          <w:trHeight w:val="25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II КРАТКОРОЧНЕ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36.376.686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38.073.000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38.921.454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93</w:t>
            </w:r>
          </w:p>
        </w:tc>
      </w:tr>
      <w:tr w:rsidR="00774CC1" w:rsidRPr="00EE0129" w:rsidTr="00D233A6">
        <w:trPr>
          <w:trHeight w:val="25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 Краткорочне финансијске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4.264.686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2.998.000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4.791.885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89</w:t>
            </w:r>
          </w:p>
        </w:tc>
      </w:tr>
      <w:tr w:rsidR="00774CC1" w:rsidRPr="00EE0129" w:rsidTr="00D233A6">
        <w:trPr>
          <w:trHeight w:val="1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a) Краткорочни кредити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3.350.000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2.091.000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2.990.001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112</w:t>
            </w:r>
          </w:p>
        </w:tc>
      </w:tr>
      <w:tr w:rsidR="00774CC1" w:rsidRPr="00EE0129" w:rsidTr="00D233A6">
        <w:trPr>
          <w:trHeight w:val="358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б) Дио дугорочних обавеза који доспјева за плаћање у пероду до годину дана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1.787.197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774CC1" w:rsidRPr="00EE0129" w:rsidTr="00D233A6">
        <w:trPr>
          <w:trHeight w:val="142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в) Остале краткорочне финансијске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14.686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14.687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D233A6">
        <w:trPr>
          <w:trHeight w:val="1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 Обавезе из пословања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19.715.000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22.050.000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21.392.158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92</w:t>
            </w:r>
          </w:p>
        </w:tc>
      </w:tr>
      <w:tr w:rsidR="00774CC1" w:rsidRPr="00EE0129" w:rsidTr="00D233A6">
        <w:trPr>
          <w:trHeight w:val="187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а) Примљени аванси, депозити, кауције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1.555.000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1.800.000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1.450.520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107</w:t>
            </w:r>
          </w:p>
        </w:tc>
      </w:tr>
      <w:tr w:rsidR="00774CC1" w:rsidRPr="00EE0129" w:rsidTr="00D233A6">
        <w:trPr>
          <w:trHeight w:val="20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б) Добављачи повезана правна лица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16.500.000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19.000.000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18.691.321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88</w:t>
            </w:r>
          </w:p>
        </w:tc>
      </w:tr>
      <w:tr w:rsidR="00774CC1" w:rsidRPr="00EE0129" w:rsidTr="00D233A6">
        <w:trPr>
          <w:trHeight w:val="223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в) Остали добављачи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1.400.000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1.250.000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1.249.290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112</w:t>
            </w:r>
          </w:p>
        </w:tc>
      </w:tr>
      <w:tr w:rsidR="00774CC1" w:rsidRPr="00EE0129" w:rsidTr="00D233A6">
        <w:trPr>
          <w:trHeight w:val="1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г) Добављачи из иностранства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260.000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550.000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1.027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25.316</w:t>
            </w:r>
          </w:p>
        </w:tc>
      </w:tr>
      <w:tr w:rsidR="00774CC1" w:rsidRPr="00EE0129" w:rsidTr="00D233A6">
        <w:trPr>
          <w:trHeight w:val="178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3. Обавезе из специфичних послова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9.370.000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8.130.419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115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4. Обавезе за зараде и накнаде зарада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2.000.000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1.776.978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</w:tr>
      <w:tr w:rsidR="00774CC1" w:rsidRPr="00EE0129" w:rsidTr="00D233A6">
        <w:trPr>
          <w:trHeight w:val="178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5. Друге обавезе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75.000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74.109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108</w:t>
            </w:r>
          </w:p>
        </w:tc>
      </w:tr>
      <w:tr w:rsidR="00774CC1" w:rsidRPr="00EE0129" w:rsidTr="00D233A6">
        <w:trPr>
          <w:trHeight w:val="205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6. Порез на додатну вриједност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310.000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540.000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359.866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86</w:t>
            </w:r>
          </w:p>
        </w:tc>
      </w:tr>
      <w:tr w:rsidR="00774CC1" w:rsidRPr="00EE0129" w:rsidTr="00D233A6">
        <w:trPr>
          <w:trHeight w:val="223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7. Обавезе за порезе, доприноси и друге дажбине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60.000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124.867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48</w:t>
            </w:r>
          </w:p>
        </w:tc>
      </w:tr>
      <w:tr w:rsidR="00774CC1" w:rsidRPr="00EE0129" w:rsidTr="00D233A6">
        <w:trPr>
          <w:trHeight w:val="142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8. Обавезе за порез на добитак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160.000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850.000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886.402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774CC1" w:rsidRPr="00EE0129" w:rsidTr="00D233A6">
        <w:trPr>
          <w:trHeight w:val="1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9. Пасивна временска разграничења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1.617.000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1.384.770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117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Г. ПОСЛОВНА ПАСИВА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275.138.851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268.837.647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278.677.174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Д. ВАНБИЛАНСНА ПАСИВА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32.146.000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32.153.644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774CC1" w:rsidRPr="00EE0129" w:rsidTr="00EE0129">
        <w:trPr>
          <w:trHeight w:val="60"/>
        </w:trPr>
        <w:tc>
          <w:tcPr>
            <w:tcW w:w="5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Ђ. УКУПНА ПАСИВА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307.284.851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4E2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300.837.647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310.830.818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BC2E6"/>
            <w:noWrap/>
            <w:vAlign w:val="center"/>
            <w:hideMark/>
          </w:tcPr>
          <w:p w:rsidR="00774CC1" w:rsidRPr="00EE0129" w:rsidRDefault="00774CC1" w:rsidP="00774CC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E012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</w:tr>
    </w:tbl>
    <w:p w:rsidR="005A77A9" w:rsidRPr="003A759E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3A759E">
        <w:rPr>
          <w:rFonts w:ascii="Arial" w:hAnsi="Arial" w:cs="Arial"/>
          <w:sz w:val="22"/>
        </w:rPr>
        <w:lastRenderedPageBreak/>
        <w:t>Вр</w:t>
      </w:r>
      <w:r w:rsidRPr="003A759E">
        <w:rPr>
          <w:rFonts w:ascii="Arial" w:hAnsi="Arial" w:cs="Arial"/>
          <w:sz w:val="22"/>
          <w:lang w:val="sr-Cyrl-CS"/>
        </w:rPr>
        <w:t xml:space="preserve">иједност </w:t>
      </w:r>
      <w:r w:rsidRPr="003A759E">
        <w:rPr>
          <w:rFonts w:ascii="Arial" w:hAnsi="Arial" w:cs="Arial"/>
          <w:b/>
          <w:bCs/>
          <w:sz w:val="22"/>
        </w:rPr>
        <w:t>основног</w:t>
      </w:r>
      <w:r w:rsidRPr="003A759E">
        <w:rPr>
          <w:rFonts w:ascii="Arial" w:hAnsi="Arial" w:cs="Arial"/>
          <w:sz w:val="22"/>
        </w:rPr>
        <w:t xml:space="preserve"> </w:t>
      </w:r>
      <w:r w:rsidRPr="003A759E">
        <w:rPr>
          <w:rFonts w:ascii="Arial" w:hAnsi="Arial" w:cs="Arial"/>
          <w:b/>
          <w:bCs/>
          <w:sz w:val="22"/>
          <w:lang w:val="sr-Cyrl-CS"/>
        </w:rPr>
        <w:t>капитала</w:t>
      </w:r>
      <w:r w:rsidRPr="003A759E">
        <w:rPr>
          <w:rFonts w:ascii="Arial" w:hAnsi="Arial" w:cs="Arial"/>
          <w:sz w:val="22"/>
          <w:lang w:val="sr-Cyrl-CS"/>
        </w:rPr>
        <w:t xml:space="preserve"> </w:t>
      </w:r>
      <w:r w:rsidRPr="003A759E">
        <w:rPr>
          <w:rFonts w:ascii="Arial" w:hAnsi="Arial" w:cs="Arial"/>
          <w:sz w:val="22"/>
        </w:rPr>
        <w:t xml:space="preserve">износи </w:t>
      </w:r>
      <w:r w:rsidR="00023E47" w:rsidRPr="003A759E">
        <w:rPr>
          <w:rFonts w:ascii="Arial" w:hAnsi="Arial" w:cs="Arial"/>
          <w:sz w:val="22"/>
        </w:rPr>
        <w:t>38</w:t>
      </w:r>
      <w:r w:rsidR="00CA785E" w:rsidRPr="003A759E">
        <w:rPr>
          <w:rFonts w:ascii="Arial" w:hAnsi="Arial" w:cs="Arial"/>
          <w:sz w:val="22"/>
          <w:lang w:val="sr-Cyrl-BA"/>
        </w:rPr>
        <w:t>.</w:t>
      </w:r>
      <w:r w:rsidR="00023E47" w:rsidRPr="003A759E">
        <w:rPr>
          <w:rFonts w:ascii="Arial" w:hAnsi="Arial" w:cs="Arial"/>
          <w:sz w:val="22"/>
        </w:rPr>
        <w:t>4</w:t>
      </w:r>
      <w:r w:rsidR="00CA785E" w:rsidRPr="003A759E">
        <w:rPr>
          <w:rFonts w:ascii="Arial" w:hAnsi="Arial" w:cs="Arial"/>
          <w:sz w:val="22"/>
          <w:lang w:val="sr-Cyrl-BA"/>
        </w:rPr>
        <w:t>86.953</w:t>
      </w:r>
      <w:r w:rsidR="00CA785E" w:rsidRPr="003A759E">
        <w:rPr>
          <w:rFonts w:ascii="Arial" w:hAnsi="Arial" w:cs="Arial"/>
          <w:sz w:val="22"/>
          <w:lang w:val="sr-Cyrl-CS"/>
        </w:rPr>
        <w:t xml:space="preserve"> КМ и подјељен је на исто толико акција номиналне вриједности 1 КМ. </w:t>
      </w:r>
      <w:r w:rsidRPr="003A759E">
        <w:rPr>
          <w:rFonts w:ascii="Arial" w:hAnsi="Arial" w:cs="Arial"/>
          <w:sz w:val="22"/>
          <w:lang w:val="sr-Cyrl-CS"/>
        </w:rPr>
        <w:t xml:space="preserve">  </w:t>
      </w:r>
    </w:p>
    <w:p w:rsidR="00030E18" w:rsidRPr="00C161F7" w:rsidRDefault="00030E18" w:rsidP="005A77A9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813858" w:rsidRPr="003A759E" w:rsidRDefault="00B1333A" w:rsidP="005A77A9">
      <w:pPr>
        <w:jc w:val="both"/>
        <w:rPr>
          <w:rFonts w:ascii="Arial" w:hAnsi="Arial" w:cs="Arial"/>
          <w:bCs/>
          <w:sz w:val="22"/>
          <w:lang w:val="sr-Cyrl-BA"/>
        </w:rPr>
      </w:pPr>
      <w:r w:rsidRPr="003A759E">
        <w:rPr>
          <w:rFonts w:ascii="Arial" w:hAnsi="Arial" w:cs="Arial"/>
          <w:bCs/>
          <w:sz w:val="22"/>
          <w:lang w:val="sr-Cyrl-CS"/>
        </w:rPr>
        <w:t>Резерве П</w:t>
      </w:r>
      <w:r w:rsidR="00813858" w:rsidRPr="003A759E">
        <w:rPr>
          <w:rFonts w:ascii="Arial" w:hAnsi="Arial" w:cs="Arial"/>
          <w:bCs/>
          <w:sz w:val="22"/>
          <w:lang w:val="sr-Cyrl-CS"/>
        </w:rPr>
        <w:t>редузећа</w:t>
      </w:r>
      <w:r w:rsidRPr="003A759E">
        <w:rPr>
          <w:rFonts w:ascii="Arial" w:hAnsi="Arial" w:cs="Arial"/>
          <w:bCs/>
          <w:sz w:val="22"/>
          <w:lang w:val="sr-Cyrl-CS"/>
        </w:rPr>
        <w:t xml:space="preserve"> – Законске и Статутарне</w:t>
      </w:r>
      <w:r w:rsidR="00813858" w:rsidRPr="003A759E">
        <w:rPr>
          <w:rFonts w:ascii="Arial" w:hAnsi="Arial" w:cs="Arial"/>
          <w:bCs/>
          <w:sz w:val="22"/>
          <w:lang w:val="sr-Cyrl-CS"/>
        </w:rPr>
        <w:t xml:space="preserve"> планиране су у </w:t>
      </w:r>
      <w:r w:rsidRPr="003A759E">
        <w:rPr>
          <w:rFonts w:ascii="Arial" w:hAnsi="Arial" w:cs="Arial"/>
          <w:bCs/>
          <w:sz w:val="22"/>
          <w:lang w:val="sr-Cyrl-CS"/>
        </w:rPr>
        <w:t xml:space="preserve">складу са Статутом и законским прописима док су Ревалоризационе резерве </w:t>
      </w:r>
      <w:r w:rsidR="004B4DCA" w:rsidRPr="003A759E">
        <w:rPr>
          <w:rFonts w:ascii="Arial" w:hAnsi="Arial" w:cs="Arial"/>
          <w:bCs/>
          <w:sz w:val="22"/>
          <w:lang w:val="sr-Cyrl-CS"/>
        </w:rPr>
        <w:t xml:space="preserve">планиране на основу </w:t>
      </w:r>
      <w:r w:rsidR="003647EA" w:rsidRPr="003A759E">
        <w:rPr>
          <w:rFonts w:ascii="Arial" w:hAnsi="Arial" w:cs="Arial"/>
          <w:bCs/>
          <w:sz w:val="22"/>
          <w:lang w:val="sr-Cyrl-BA"/>
        </w:rPr>
        <w:t xml:space="preserve">ефеката процјене основних средстава. </w:t>
      </w:r>
    </w:p>
    <w:p w:rsidR="00B1333A" w:rsidRPr="003A759E" w:rsidRDefault="00B1333A" w:rsidP="005A77A9">
      <w:pPr>
        <w:jc w:val="both"/>
        <w:rPr>
          <w:rFonts w:ascii="Arial" w:hAnsi="Arial" w:cs="Arial"/>
          <w:b/>
          <w:bCs/>
          <w:sz w:val="22"/>
          <w:lang w:val="sr-Cyrl-CS"/>
        </w:rPr>
      </w:pP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</w:rPr>
      </w:pPr>
      <w:r w:rsidRPr="003A759E">
        <w:rPr>
          <w:rFonts w:ascii="Arial" w:hAnsi="Arial" w:cs="Arial"/>
          <w:b/>
          <w:bCs/>
          <w:sz w:val="22"/>
          <w:lang w:val="sr-Cyrl-CS"/>
        </w:rPr>
        <w:t>Укупне Обавезе</w:t>
      </w:r>
      <w:r w:rsidRPr="003A759E">
        <w:rPr>
          <w:rFonts w:ascii="Arial" w:hAnsi="Arial" w:cs="Arial"/>
          <w:sz w:val="22"/>
          <w:lang w:val="sr-Cyrl-CS"/>
        </w:rPr>
        <w:t xml:space="preserve"> Предузећа у наредном периоду планиране су на следећи начин:</w:t>
      </w:r>
    </w:p>
    <w:p w:rsidR="005A77A9" w:rsidRPr="00C161F7" w:rsidRDefault="005A77A9" w:rsidP="005A77A9">
      <w:pPr>
        <w:jc w:val="both"/>
        <w:rPr>
          <w:rFonts w:ascii="Arial" w:hAnsi="Arial" w:cs="Arial"/>
          <w:sz w:val="22"/>
          <w:highlight w:val="yellow"/>
        </w:rPr>
      </w:pPr>
    </w:p>
    <w:p w:rsidR="005A77A9" w:rsidRPr="003A759E" w:rsidRDefault="005A77A9" w:rsidP="0046227E">
      <w:pPr>
        <w:numPr>
          <w:ilvl w:val="0"/>
          <w:numId w:val="14"/>
        </w:numPr>
        <w:jc w:val="both"/>
        <w:rPr>
          <w:rFonts w:ascii="Arial" w:hAnsi="Arial" w:cs="Arial"/>
          <w:sz w:val="22"/>
        </w:rPr>
      </w:pPr>
      <w:r w:rsidRPr="003A759E">
        <w:rPr>
          <w:rFonts w:ascii="Arial" w:hAnsi="Arial" w:cs="Arial"/>
          <w:sz w:val="22"/>
        </w:rPr>
        <w:t>У 201</w:t>
      </w:r>
      <w:r w:rsidR="003A759E" w:rsidRPr="003A759E">
        <w:rPr>
          <w:rFonts w:ascii="Arial" w:hAnsi="Arial" w:cs="Arial"/>
          <w:sz w:val="22"/>
          <w:lang w:val="sr-Cyrl-BA"/>
        </w:rPr>
        <w:t>8</w:t>
      </w:r>
      <w:r w:rsidRPr="003A759E">
        <w:rPr>
          <w:rFonts w:ascii="Arial" w:hAnsi="Arial" w:cs="Arial"/>
          <w:sz w:val="22"/>
        </w:rPr>
        <w:t xml:space="preserve">. години планирана је </w:t>
      </w:r>
      <w:r w:rsidR="004B4DCA" w:rsidRPr="003A759E">
        <w:rPr>
          <w:rFonts w:ascii="Arial" w:hAnsi="Arial" w:cs="Arial"/>
          <w:sz w:val="22"/>
          <w:lang w:val="sr-Cyrl-BA"/>
        </w:rPr>
        <w:t xml:space="preserve">континуирана </w:t>
      </w:r>
      <w:r w:rsidR="003647EA" w:rsidRPr="003A759E">
        <w:rPr>
          <w:rFonts w:ascii="Arial" w:hAnsi="Arial" w:cs="Arial"/>
          <w:sz w:val="22"/>
        </w:rPr>
        <w:t xml:space="preserve">отплата дугорочних кредита. Краткорочни кредити су </w:t>
      </w:r>
      <w:r w:rsidR="003647EA" w:rsidRPr="003A759E">
        <w:rPr>
          <w:rFonts w:ascii="Arial" w:hAnsi="Arial" w:cs="Arial"/>
          <w:sz w:val="22"/>
          <w:lang w:val="sr-Cyrl-BA"/>
        </w:rPr>
        <w:t xml:space="preserve">планирани у складу са </w:t>
      </w:r>
      <w:r w:rsidR="00EE7C7E" w:rsidRPr="003A759E">
        <w:rPr>
          <w:rFonts w:ascii="Arial" w:hAnsi="Arial" w:cs="Arial"/>
          <w:sz w:val="22"/>
          <w:lang w:val="sr-Cyrl-BA"/>
        </w:rPr>
        <w:t xml:space="preserve">постојећим уговорима и планом прилива/одлива. </w:t>
      </w:r>
    </w:p>
    <w:p w:rsidR="005A77A9" w:rsidRPr="003A759E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3A759E" w:rsidRDefault="00EE7C7E" w:rsidP="00EE7C7E">
      <w:pPr>
        <w:numPr>
          <w:ilvl w:val="0"/>
          <w:numId w:val="10"/>
        </w:numPr>
        <w:ind w:left="360"/>
        <w:jc w:val="both"/>
      </w:pPr>
      <w:r w:rsidRPr="003A759E">
        <w:rPr>
          <w:rFonts w:ascii="Arial" w:hAnsi="Arial" w:cs="Arial"/>
          <w:b/>
          <w:bCs/>
          <w:sz w:val="22"/>
          <w:lang w:val="sr-Cyrl-CS"/>
        </w:rPr>
        <w:t xml:space="preserve">Обавезе из пословања </w:t>
      </w:r>
      <w:r w:rsidRPr="003A759E">
        <w:rPr>
          <w:rFonts w:ascii="Arial" w:hAnsi="Arial" w:cs="Arial"/>
          <w:bCs/>
          <w:sz w:val="22"/>
          <w:lang w:val="sr-Cyrl-CS"/>
        </w:rPr>
        <w:t>планиране су у складу са досадашњом праксом и на нивоу износа из претходних година.</w:t>
      </w:r>
    </w:p>
    <w:p w:rsidR="00EE7C7E" w:rsidRPr="003A759E" w:rsidRDefault="00EE7C7E" w:rsidP="00EE7C7E">
      <w:pPr>
        <w:ind w:left="360"/>
        <w:jc w:val="both"/>
      </w:pPr>
    </w:p>
    <w:p w:rsidR="00EE7C7E" w:rsidRPr="003A759E" w:rsidRDefault="00EE7C7E" w:rsidP="00EE7C7E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</w:rPr>
      </w:pPr>
      <w:r w:rsidRPr="003A759E">
        <w:rPr>
          <w:rFonts w:ascii="Arial" w:hAnsi="Arial" w:cs="Arial"/>
          <w:b/>
          <w:sz w:val="22"/>
          <w:lang w:val="sr-Cyrl-BA"/>
        </w:rPr>
        <w:t>Обавезе за зараде и накнаде зарада</w:t>
      </w:r>
      <w:r w:rsidRPr="003A759E">
        <w:rPr>
          <w:rFonts w:ascii="Arial" w:hAnsi="Arial" w:cs="Arial"/>
          <w:sz w:val="22"/>
          <w:lang w:val="sr-Cyrl-BA"/>
        </w:rPr>
        <w:t xml:space="preserve"> планиране су у висини преостале обавезе и према пројекцији мјесечног трошка за зараде и накнаде зарада. </w:t>
      </w:r>
    </w:p>
    <w:p w:rsidR="00EE7C7E" w:rsidRPr="003A759E" w:rsidRDefault="00EE7C7E" w:rsidP="00EE7C7E">
      <w:pPr>
        <w:pStyle w:val="ListParagraph"/>
        <w:rPr>
          <w:rFonts w:ascii="Arial" w:hAnsi="Arial" w:cs="Arial"/>
          <w:sz w:val="22"/>
        </w:rPr>
      </w:pPr>
    </w:p>
    <w:p w:rsidR="00EE7C7E" w:rsidRPr="003A759E" w:rsidRDefault="00EE7C7E" w:rsidP="00EE7C7E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</w:rPr>
      </w:pPr>
      <w:r w:rsidRPr="003A759E">
        <w:rPr>
          <w:rFonts w:ascii="Arial" w:hAnsi="Arial" w:cs="Arial"/>
          <w:sz w:val="22"/>
          <w:lang w:val="sr-Cyrl-BA"/>
        </w:rPr>
        <w:t xml:space="preserve">У оквиру </w:t>
      </w:r>
      <w:r w:rsidRPr="003A759E">
        <w:rPr>
          <w:rFonts w:ascii="Arial" w:hAnsi="Arial" w:cs="Arial"/>
          <w:b/>
          <w:sz w:val="22"/>
          <w:lang w:val="sr-Cyrl-BA"/>
        </w:rPr>
        <w:t>обавеза за порезе, доприносе и друге дажбине</w:t>
      </w:r>
      <w:r w:rsidRPr="003A759E">
        <w:rPr>
          <w:rFonts w:ascii="Arial" w:hAnsi="Arial" w:cs="Arial"/>
          <w:sz w:val="22"/>
          <w:lang w:val="sr-Cyrl-BA"/>
        </w:rPr>
        <w:t xml:space="preserve"> </w:t>
      </w:r>
      <w:r w:rsidR="00630A71" w:rsidRPr="003A759E">
        <w:rPr>
          <w:rFonts w:ascii="Arial" w:hAnsi="Arial" w:cs="Arial"/>
          <w:sz w:val="22"/>
          <w:lang w:val="sr-Cyrl-BA"/>
        </w:rPr>
        <w:t xml:space="preserve">направљена је пројекција директних и индиректних пореза, доприноса и других накнада које се углавном понављају из године у годину. </w:t>
      </w:r>
    </w:p>
    <w:p w:rsidR="00EE7C7E" w:rsidRPr="00C161F7" w:rsidRDefault="00EE7C7E" w:rsidP="00EE7C7E">
      <w:pPr>
        <w:jc w:val="both"/>
        <w:rPr>
          <w:highlight w:val="yellow"/>
          <w:lang w:val="sr-Cyrl-CS"/>
        </w:rPr>
      </w:pPr>
    </w:p>
    <w:p w:rsidR="00EE7C7E" w:rsidRPr="00C161F7" w:rsidRDefault="00EE7C7E">
      <w:pPr>
        <w:spacing w:after="200" w:line="276" w:lineRule="auto"/>
        <w:rPr>
          <w:rFonts w:ascii="Arial" w:hAnsi="Arial" w:cs="Arial"/>
          <w:b/>
          <w:szCs w:val="22"/>
          <w:highlight w:val="yellow"/>
          <w:lang w:val="sr-Cyrl-CS"/>
        </w:rPr>
      </w:pPr>
      <w:bookmarkStart w:id="72" w:name="_Toc481062267"/>
      <w:r w:rsidRPr="00C161F7">
        <w:rPr>
          <w:rFonts w:ascii="Arial" w:hAnsi="Arial" w:cs="Arial"/>
          <w:szCs w:val="22"/>
          <w:highlight w:val="yellow"/>
        </w:rPr>
        <w:br w:type="page"/>
      </w:r>
    </w:p>
    <w:p w:rsidR="005A77A9" w:rsidRPr="00EE0129" w:rsidRDefault="005A77A9" w:rsidP="00140162">
      <w:pPr>
        <w:pStyle w:val="Heading1"/>
        <w:ind w:left="720"/>
        <w:rPr>
          <w:rFonts w:ascii="Arial" w:hAnsi="Arial" w:cs="Arial"/>
          <w:sz w:val="22"/>
          <w:szCs w:val="22"/>
        </w:rPr>
      </w:pPr>
      <w:bookmarkStart w:id="73" w:name="_Toc500762434"/>
      <w:r w:rsidRPr="00EE0129">
        <w:rPr>
          <w:rFonts w:ascii="Arial" w:hAnsi="Arial" w:cs="Arial"/>
          <w:sz w:val="24"/>
          <w:szCs w:val="22"/>
        </w:rPr>
        <w:lastRenderedPageBreak/>
        <w:t xml:space="preserve">ПЛАН РАДНЕ СНАГЕ </w:t>
      </w:r>
      <w:r w:rsidRPr="00EE0129">
        <w:rPr>
          <w:rFonts w:ascii="Arial" w:hAnsi="Arial" w:cs="Arial"/>
          <w:sz w:val="24"/>
          <w:szCs w:val="22"/>
          <w:lang w:val="sr-Latn-CS"/>
        </w:rPr>
        <w:t>за</w:t>
      </w:r>
      <w:r w:rsidRPr="00EE0129">
        <w:rPr>
          <w:rFonts w:ascii="Arial" w:hAnsi="Arial" w:cs="Arial"/>
          <w:sz w:val="24"/>
          <w:szCs w:val="22"/>
        </w:rPr>
        <w:t xml:space="preserve"> 201</w:t>
      </w:r>
      <w:r w:rsidR="003A759E" w:rsidRPr="00EE0129">
        <w:rPr>
          <w:rFonts w:ascii="Arial" w:hAnsi="Arial" w:cs="Arial"/>
          <w:sz w:val="24"/>
          <w:szCs w:val="22"/>
          <w:lang w:val="sr-Cyrl-BA"/>
        </w:rPr>
        <w:t>8</w:t>
      </w:r>
      <w:r w:rsidRPr="00EE0129">
        <w:rPr>
          <w:rFonts w:ascii="Arial" w:hAnsi="Arial" w:cs="Arial"/>
          <w:sz w:val="24"/>
          <w:szCs w:val="22"/>
        </w:rPr>
        <w:t>. годину</w:t>
      </w:r>
      <w:bookmarkEnd w:id="72"/>
      <w:bookmarkEnd w:id="73"/>
    </w:p>
    <w:p w:rsidR="005A77A9" w:rsidRPr="00EE0129" w:rsidRDefault="00AD2100" w:rsidP="005A77A9">
      <w:pPr>
        <w:jc w:val="both"/>
        <w:rPr>
          <w:rFonts w:ascii="Arial" w:hAnsi="Arial" w:cs="Arial"/>
          <w:b/>
          <w:bCs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8" style="width:469.1pt;height:1pt" o:hrpct="989" o:hralign="center" o:hrstd="t" o:hr="t" fillcolor="gray" stroked="f"/>
        </w:pict>
      </w:r>
    </w:p>
    <w:p w:rsidR="005A77A9" w:rsidRPr="00C161F7" w:rsidRDefault="005A77A9" w:rsidP="005A77A9">
      <w:pPr>
        <w:ind w:left="360"/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5A77A9" w:rsidRPr="00140162" w:rsidRDefault="001C5E8B" w:rsidP="001C5E8B">
      <w:pPr>
        <w:pStyle w:val="Caption"/>
        <w:rPr>
          <w:rFonts w:ascii="Arial" w:hAnsi="Arial" w:cs="Arial"/>
          <w:b w:val="0"/>
          <w:lang w:val="sr-Cyrl-BA"/>
        </w:rPr>
      </w:pPr>
      <w:bookmarkStart w:id="74" w:name="_Toc500767359"/>
      <w:r w:rsidRPr="00140162">
        <w:rPr>
          <w:rFonts w:ascii="Arial" w:hAnsi="Arial" w:cs="Arial"/>
          <w:b w:val="0"/>
        </w:rPr>
        <w:t xml:space="preserve">Табела </w:t>
      </w:r>
      <w:r w:rsidRPr="00140162">
        <w:rPr>
          <w:rFonts w:ascii="Arial" w:hAnsi="Arial" w:cs="Arial"/>
          <w:b w:val="0"/>
        </w:rPr>
        <w:fldChar w:fldCharType="begin"/>
      </w:r>
      <w:r w:rsidRPr="00140162">
        <w:rPr>
          <w:rFonts w:ascii="Arial" w:hAnsi="Arial" w:cs="Arial"/>
          <w:b w:val="0"/>
        </w:rPr>
        <w:instrText xml:space="preserve"> SEQ Табела \* ARABIC </w:instrText>
      </w:r>
      <w:r w:rsidRPr="00140162">
        <w:rPr>
          <w:rFonts w:ascii="Arial" w:hAnsi="Arial" w:cs="Arial"/>
          <w:b w:val="0"/>
        </w:rPr>
        <w:fldChar w:fldCharType="separate"/>
      </w:r>
      <w:r w:rsidR="00322822" w:rsidRPr="00140162">
        <w:rPr>
          <w:rFonts w:ascii="Arial" w:hAnsi="Arial" w:cs="Arial"/>
          <w:b w:val="0"/>
          <w:noProof/>
        </w:rPr>
        <w:t>10</w:t>
      </w:r>
      <w:r w:rsidRPr="00140162">
        <w:rPr>
          <w:rFonts w:ascii="Arial" w:hAnsi="Arial" w:cs="Arial"/>
          <w:b w:val="0"/>
        </w:rPr>
        <w:fldChar w:fldCharType="end"/>
      </w:r>
      <w:r w:rsidRPr="00140162">
        <w:rPr>
          <w:rFonts w:ascii="Arial" w:hAnsi="Arial" w:cs="Arial"/>
          <w:b w:val="0"/>
          <w:lang w:val="sr-Cyrl-BA"/>
        </w:rPr>
        <w:t xml:space="preserve"> </w:t>
      </w:r>
      <w:r w:rsidRPr="00140162">
        <w:rPr>
          <w:rFonts w:ascii="Arial" w:hAnsi="Arial" w:cs="Arial"/>
          <w:b w:val="0"/>
        </w:rPr>
        <w:t xml:space="preserve"> </w:t>
      </w:r>
      <w:r w:rsidRPr="00140162">
        <w:rPr>
          <w:rFonts w:ascii="Arial" w:hAnsi="Arial" w:cs="Arial"/>
          <w:b w:val="0"/>
          <w:lang w:val="sr-Cyrl-CS"/>
        </w:rPr>
        <w:t xml:space="preserve">Ребаланс </w:t>
      </w:r>
      <w:r w:rsidR="001E7BC9" w:rsidRPr="00140162">
        <w:rPr>
          <w:rFonts w:ascii="Arial" w:hAnsi="Arial" w:cs="Arial"/>
          <w:b w:val="0"/>
          <w:lang w:val="sr-Cyrl-BA"/>
        </w:rPr>
        <w:t>радне снаге за 2018</w:t>
      </w:r>
      <w:r w:rsidRPr="00140162">
        <w:rPr>
          <w:rFonts w:ascii="Arial" w:hAnsi="Arial" w:cs="Arial"/>
          <w:b w:val="0"/>
          <w:lang w:val="sr-Cyrl-BA"/>
        </w:rPr>
        <w:t>. годину</w:t>
      </w:r>
      <w:bookmarkEnd w:id="74"/>
    </w:p>
    <w:p w:rsidR="00F2066C" w:rsidRPr="00C161F7" w:rsidRDefault="00F2066C" w:rsidP="00F2066C">
      <w:pPr>
        <w:rPr>
          <w:highlight w:val="yellow"/>
          <w:lang w:val="sr-Cyrl-BA"/>
        </w:rPr>
      </w:pPr>
    </w:p>
    <w:tbl>
      <w:tblPr>
        <w:tblW w:w="929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3"/>
        <w:gridCol w:w="2463"/>
        <w:gridCol w:w="3482"/>
        <w:gridCol w:w="1376"/>
      </w:tblGrid>
      <w:tr w:rsidR="003D15A3" w:rsidRPr="00C161F7" w:rsidTr="000F6DCE">
        <w:trPr>
          <w:trHeight w:val="1151"/>
          <w:jc w:val="right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5A77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Квалификациона структура</w:t>
            </w:r>
          </w:p>
        </w:tc>
        <w:tc>
          <w:tcPr>
            <w:tcW w:w="24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CA785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Број</w:t>
            </w:r>
            <w:r w:rsidR="001E7BC9" w:rsidRPr="00A750B9">
              <w:rPr>
                <w:rFonts w:ascii="Arial" w:hAnsi="Arial" w:cs="Arial"/>
                <w:sz w:val="22"/>
                <w:szCs w:val="22"/>
              </w:rPr>
              <w:t xml:space="preserve"> радника према Ребалансу за 201</w:t>
            </w:r>
            <w:r w:rsidR="001E7BC9" w:rsidRPr="00A750B9">
              <w:rPr>
                <w:rFonts w:ascii="Arial" w:hAnsi="Arial" w:cs="Arial"/>
                <w:sz w:val="22"/>
                <w:szCs w:val="22"/>
                <w:lang w:val="sr-Cyrl-CS"/>
              </w:rPr>
              <w:t>8</w:t>
            </w:r>
            <w:r w:rsidRPr="00A750B9">
              <w:rPr>
                <w:rFonts w:ascii="Arial" w:hAnsi="Arial" w:cs="Arial"/>
                <w:sz w:val="22"/>
                <w:szCs w:val="22"/>
              </w:rPr>
              <w:t>. годину</w:t>
            </w:r>
          </w:p>
        </w:tc>
        <w:tc>
          <w:tcPr>
            <w:tcW w:w="348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CA785E">
            <w:pPr>
              <w:jc w:val="center"/>
              <w:rPr>
                <w:rFonts w:ascii="Arial" w:hAnsi="Arial" w:cs="Arial"/>
                <w:sz w:val="22"/>
                <w:szCs w:val="22"/>
                <w:lang w:val="sr-Cyrl-BA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Cyrl-BA"/>
              </w:rPr>
              <w:t>Број радни</w:t>
            </w:r>
            <w:r w:rsidR="001E7BC9" w:rsidRPr="00A750B9">
              <w:rPr>
                <w:rFonts w:ascii="Arial" w:hAnsi="Arial" w:cs="Arial"/>
                <w:sz w:val="22"/>
                <w:szCs w:val="22"/>
                <w:lang w:val="sr-Cyrl-BA"/>
              </w:rPr>
              <w:t>ка према Плану пословања за 2018</w:t>
            </w:r>
            <w:r w:rsidRPr="00A750B9">
              <w:rPr>
                <w:rFonts w:ascii="Arial" w:hAnsi="Arial" w:cs="Arial"/>
                <w:sz w:val="22"/>
                <w:szCs w:val="22"/>
                <w:lang w:val="sr-Cyrl-BA"/>
              </w:rPr>
              <w:t>. годину</w:t>
            </w:r>
          </w:p>
        </w:tc>
        <w:tc>
          <w:tcPr>
            <w:tcW w:w="137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C161F7" w:rsidRDefault="003D15A3" w:rsidP="003D15A3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  <w:lang w:val="sr-Cyrl-C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Cyrl-CS"/>
              </w:rPr>
              <w:t>Индекс</w:t>
            </w:r>
          </w:p>
        </w:tc>
      </w:tr>
      <w:tr w:rsidR="003D15A3" w:rsidRPr="00C161F7" w:rsidTr="000F6DCE">
        <w:trPr>
          <w:trHeight w:val="230"/>
          <w:jc w:val="right"/>
        </w:trPr>
        <w:tc>
          <w:tcPr>
            <w:tcW w:w="197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5A77A9">
            <w:pPr>
              <w:jc w:val="center"/>
              <w:rPr>
                <w:rFonts w:ascii="Arial" w:hAnsi="Arial" w:cs="Arial"/>
                <w:i/>
                <w:iCs/>
                <w:sz w:val="16"/>
                <w:szCs w:val="22"/>
              </w:rPr>
            </w:pPr>
            <w:r w:rsidRPr="00A750B9">
              <w:rPr>
                <w:rFonts w:ascii="Arial" w:hAnsi="Arial" w:cs="Arial"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2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5A77A9">
            <w:pPr>
              <w:jc w:val="center"/>
              <w:rPr>
                <w:rFonts w:ascii="Arial" w:hAnsi="Arial" w:cs="Arial"/>
                <w:sz w:val="16"/>
                <w:szCs w:val="22"/>
                <w:lang w:val="sr-Cyrl-RS"/>
              </w:rPr>
            </w:pPr>
            <w:r w:rsidRPr="00A750B9">
              <w:rPr>
                <w:rFonts w:ascii="Arial" w:hAnsi="Arial" w:cs="Arial"/>
                <w:sz w:val="16"/>
                <w:szCs w:val="22"/>
                <w:lang w:val="sr-Cyrl-RS"/>
              </w:rPr>
              <w:t>3</w:t>
            </w:r>
          </w:p>
        </w:tc>
        <w:tc>
          <w:tcPr>
            <w:tcW w:w="348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5A77A9">
            <w:pPr>
              <w:jc w:val="center"/>
              <w:rPr>
                <w:rFonts w:ascii="Arial" w:hAnsi="Arial" w:cs="Arial"/>
                <w:i/>
                <w:iCs/>
                <w:sz w:val="16"/>
                <w:szCs w:val="22"/>
                <w:lang w:val="sr-Cyrl-RS"/>
              </w:rPr>
            </w:pPr>
            <w:r w:rsidRPr="00A750B9">
              <w:rPr>
                <w:rFonts w:ascii="Arial" w:hAnsi="Arial" w:cs="Arial"/>
                <w:i/>
                <w:iCs/>
                <w:sz w:val="16"/>
                <w:szCs w:val="22"/>
                <w:lang w:val="sr-Cyrl-RS"/>
              </w:rPr>
              <w:t>4</w:t>
            </w:r>
          </w:p>
        </w:tc>
        <w:tc>
          <w:tcPr>
            <w:tcW w:w="1376" w:type="dxa"/>
            <w:tcBorders>
              <w:bottom w:val="double" w:sz="4" w:space="0" w:color="auto"/>
              <w:right w:val="double" w:sz="4" w:space="0" w:color="auto"/>
            </w:tcBorders>
          </w:tcPr>
          <w:p w:rsidR="003D15A3" w:rsidRPr="000F6DCE" w:rsidRDefault="000F6DCE" w:rsidP="005A77A9">
            <w:pPr>
              <w:jc w:val="center"/>
              <w:rPr>
                <w:rFonts w:ascii="Arial" w:hAnsi="Arial" w:cs="Arial"/>
                <w:i/>
                <w:iCs/>
                <w:sz w:val="16"/>
                <w:szCs w:val="22"/>
                <w:highlight w:val="yellow"/>
                <w:lang w:val="sr-Latn-BA"/>
              </w:rPr>
            </w:pPr>
            <w:r w:rsidRPr="00A97EB2">
              <w:rPr>
                <w:rFonts w:ascii="Arial" w:hAnsi="Arial" w:cs="Arial"/>
                <w:i/>
                <w:iCs/>
                <w:sz w:val="16"/>
                <w:szCs w:val="22"/>
                <w:lang w:val="sr-Latn-BA"/>
              </w:rPr>
              <w:t>3/4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5A77A9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Доктор</w:t>
            </w:r>
          </w:p>
        </w:tc>
        <w:tc>
          <w:tcPr>
            <w:tcW w:w="246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D15A3" w:rsidRPr="00C161F7" w:rsidRDefault="003D15A3" w:rsidP="00402934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482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4029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double" w:sz="4" w:space="0" w:color="auto"/>
              <w:right w:val="double" w:sz="4" w:space="0" w:color="auto"/>
            </w:tcBorders>
          </w:tcPr>
          <w:p w:rsidR="003D15A3" w:rsidRPr="00C161F7" w:rsidRDefault="003D15A3" w:rsidP="00402934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5A77A9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Магистар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C161F7" w:rsidRDefault="003D15A3" w:rsidP="00402934">
            <w:pPr>
              <w:jc w:val="right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40293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3D15A3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ВСС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A750B9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224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750B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23</w:t>
            </w:r>
            <w:r w:rsidR="00A750B9" w:rsidRPr="00A750B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97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ВС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47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4</w:t>
            </w:r>
            <w:r w:rsidR="00A27DFA" w:rsidRPr="00A750B9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96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ССС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103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10</w:t>
            </w:r>
            <w:r w:rsidR="00A27DFA" w:rsidRPr="00A750B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ВК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251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25</w:t>
            </w:r>
            <w:r w:rsidR="00A750B9" w:rsidRPr="00A750B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3D15A3" w:rsidP="00140162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100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КВ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234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23</w:t>
            </w:r>
            <w:r w:rsidR="00A750B9" w:rsidRPr="00A750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3D15A3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10</w:t>
            </w:r>
            <w:r w:rsidR="00140162" w:rsidRPr="00140162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ПК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28</w:t>
            </w:r>
          </w:p>
        </w:tc>
        <w:tc>
          <w:tcPr>
            <w:tcW w:w="3482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2</w:t>
            </w:r>
            <w:r w:rsidR="00A750B9" w:rsidRPr="00A750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116</w:t>
            </w:r>
          </w:p>
        </w:tc>
      </w:tr>
      <w:tr w:rsidR="003D15A3" w:rsidRPr="00C161F7" w:rsidTr="000F6DCE">
        <w:trPr>
          <w:trHeight w:val="297"/>
          <w:jc w:val="right"/>
        </w:trPr>
        <w:tc>
          <w:tcPr>
            <w:tcW w:w="197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НК</w:t>
            </w:r>
          </w:p>
        </w:tc>
        <w:tc>
          <w:tcPr>
            <w:tcW w:w="246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D15A3" w:rsidRPr="00A750B9" w:rsidRDefault="00A750B9" w:rsidP="000E48E2">
            <w:pPr>
              <w:jc w:val="right"/>
              <w:rPr>
                <w:rFonts w:ascii="Arial" w:hAnsi="Arial" w:cs="Arial"/>
                <w:sz w:val="22"/>
                <w:szCs w:val="22"/>
                <w:lang w:val="sr-Latn-RS"/>
              </w:rPr>
            </w:pPr>
            <w:r w:rsidRPr="00A750B9">
              <w:rPr>
                <w:rFonts w:ascii="Arial" w:hAnsi="Arial" w:cs="Arial"/>
                <w:sz w:val="22"/>
                <w:szCs w:val="22"/>
                <w:lang w:val="sr-Latn-RS"/>
              </w:rPr>
              <w:t>29</w:t>
            </w:r>
          </w:p>
        </w:tc>
        <w:tc>
          <w:tcPr>
            <w:tcW w:w="3482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750B9">
              <w:rPr>
                <w:rFonts w:ascii="Arial" w:hAnsi="Arial" w:cs="Arial"/>
                <w:sz w:val="22"/>
                <w:szCs w:val="22"/>
              </w:rPr>
              <w:t>3</w:t>
            </w:r>
            <w:r w:rsidR="00A750B9" w:rsidRPr="00A750B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76" w:type="dxa"/>
            <w:tcBorders>
              <w:bottom w:val="double" w:sz="4" w:space="0" w:color="auto"/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40162">
              <w:rPr>
                <w:rFonts w:ascii="Arial" w:hAnsi="Arial" w:cs="Arial"/>
                <w:sz w:val="22"/>
                <w:szCs w:val="22"/>
                <w:lang w:val="sr-Cyrl-CS"/>
              </w:rPr>
              <w:t>85</w:t>
            </w:r>
          </w:p>
        </w:tc>
      </w:tr>
      <w:tr w:rsidR="003D15A3" w:rsidRPr="00C161F7" w:rsidTr="000F6DCE">
        <w:trPr>
          <w:trHeight w:val="204"/>
          <w:jc w:val="right"/>
        </w:trPr>
        <w:tc>
          <w:tcPr>
            <w:tcW w:w="19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3D15A3" w:rsidRPr="00A750B9" w:rsidRDefault="003D15A3" w:rsidP="003A023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50B9">
              <w:rPr>
                <w:rFonts w:ascii="Arial" w:hAnsi="Arial" w:cs="Arial"/>
                <w:b/>
                <w:bCs/>
                <w:sz w:val="22"/>
                <w:szCs w:val="22"/>
              </w:rPr>
              <w:t>УКУПНО</w:t>
            </w:r>
          </w:p>
        </w:tc>
        <w:tc>
          <w:tcPr>
            <w:tcW w:w="24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D15A3" w:rsidRPr="00A750B9" w:rsidRDefault="00A750B9" w:rsidP="00947EB2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A750B9">
              <w:rPr>
                <w:rFonts w:ascii="Arial" w:hAnsi="Arial" w:cs="Arial"/>
                <w:b/>
                <w:sz w:val="22"/>
                <w:szCs w:val="22"/>
                <w:lang w:val="sr-Latn-RS"/>
              </w:rPr>
              <w:t>916</w:t>
            </w:r>
          </w:p>
        </w:tc>
        <w:tc>
          <w:tcPr>
            <w:tcW w:w="34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15A3" w:rsidRPr="00A750B9" w:rsidRDefault="003D15A3" w:rsidP="00A27DF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A750B9">
              <w:rPr>
                <w:rFonts w:ascii="Arial" w:hAnsi="Arial" w:cs="Arial"/>
                <w:b/>
                <w:sz w:val="22"/>
                <w:szCs w:val="22"/>
              </w:rPr>
              <w:t>92</w:t>
            </w:r>
            <w:r w:rsidR="00A750B9" w:rsidRPr="00A750B9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13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D15A3" w:rsidRPr="00140162" w:rsidRDefault="00140162" w:rsidP="0014016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4016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99</w:t>
            </w:r>
          </w:p>
        </w:tc>
      </w:tr>
    </w:tbl>
    <w:p w:rsidR="006830E0" w:rsidRPr="00C161F7" w:rsidRDefault="006830E0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highlight w:val="yellow"/>
          <w:lang w:val="sr-Cyrl-CS"/>
        </w:rPr>
      </w:pPr>
    </w:p>
    <w:p w:rsidR="006830E0" w:rsidRPr="00EE0129" w:rsidRDefault="001C5E8B" w:rsidP="001C5E8B">
      <w:pPr>
        <w:pStyle w:val="Caption"/>
        <w:rPr>
          <w:rFonts w:ascii="Arial" w:hAnsi="Arial" w:cs="Arial"/>
          <w:b w:val="0"/>
          <w:lang w:val="sr-Cyrl-BA"/>
        </w:rPr>
      </w:pPr>
      <w:bookmarkStart w:id="75" w:name="_Toc500767368"/>
      <w:r w:rsidRPr="00EE0129">
        <w:rPr>
          <w:rFonts w:ascii="Arial" w:hAnsi="Arial" w:cs="Arial"/>
          <w:b w:val="0"/>
        </w:rPr>
        <w:t xml:space="preserve">Графикон  </w:t>
      </w:r>
      <w:r w:rsidRPr="00EE0129">
        <w:rPr>
          <w:rFonts w:ascii="Arial" w:hAnsi="Arial" w:cs="Arial"/>
          <w:b w:val="0"/>
        </w:rPr>
        <w:fldChar w:fldCharType="begin"/>
      </w:r>
      <w:r w:rsidRPr="00EE0129">
        <w:rPr>
          <w:rFonts w:ascii="Arial" w:hAnsi="Arial" w:cs="Arial"/>
          <w:b w:val="0"/>
        </w:rPr>
        <w:instrText xml:space="preserve"> SEQ Графикон_ \* ARABIC </w:instrText>
      </w:r>
      <w:r w:rsidRPr="00EE0129">
        <w:rPr>
          <w:rFonts w:ascii="Arial" w:hAnsi="Arial" w:cs="Arial"/>
          <w:b w:val="0"/>
        </w:rPr>
        <w:fldChar w:fldCharType="separate"/>
      </w:r>
      <w:r w:rsidR="00322822" w:rsidRPr="00EE0129">
        <w:rPr>
          <w:rFonts w:ascii="Arial" w:hAnsi="Arial" w:cs="Arial"/>
          <w:b w:val="0"/>
          <w:noProof/>
        </w:rPr>
        <w:t>7</w:t>
      </w:r>
      <w:r w:rsidRPr="00EE0129">
        <w:rPr>
          <w:rFonts w:ascii="Arial" w:hAnsi="Arial" w:cs="Arial"/>
          <w:b w:val="0"/>
        </w:rPr>
        <w:fldChar w:fldCharType="end"/>
      </w:r>
      <w:r w:rsidRPr="00EE0129">
        <w:rPr>
          <w:rFonts w:ascii="Arial" w:hAnsi="Arial" w:cs="Arial"/>
          <w:b w:val="0"/>
          <w:lang w:val="sr-Cyrl-CS"/>
        </w:rPr>
        <w:t xml:space="preserve"> </w:t>
      </w:r>
      <w:r w:rsidR="009C3282" w:rsidRPr="00EE0129">
        <w:rPr>
          <w:rFonts w:ascii="Arial" w:hAnsi="Arial" w:cs="Arial"/>
          <w:b w:val="0"/>
          <w:lang w:val="sr-Cyrl-CS"/>
        </w:rPr>
        <w:t>Б</w:t>
      </w:r>
      <w:r w:rsidRPr="00EE0129">
        <w:rPr>
          <w:rFonts w:ascii="Arial" w:hAnsi="Arial" w:cs="Arial"/>
          <w:b w:val="0"/>
          <w:lang w:val="sr-Cyrl-CS"/>
        </w:rPr>
        <w:t>рој радника</w:t>
      </w:r>
      <w:bookmarkEnd w:id="75"/>
      <w:r w:rsidR="009C3282" w:rsidRPr="00EE0129">
        <w:rPr>
          <w:rFonts w:ascii="Arial" w:hAnsi="Arial" w:cs="Arial"/>
          <w:b w:val="0"/>
          <w:lang w:val="sr-Cyrl-CS"/>
        </w:rPr>
        <w:t xml:space="preserve"> по ребалансу</w:t>
      </w:r>
    </w:p>
    <w:p w:rsidR="00217504" w:rsidRPr="00EE0129" w:rsidRDefault="00217504">
      <w:pPr>
        <w:spacing w:after="200" w:line="276" w:lineRule="auto"/>
        <w:rPr>
          <w:rFonts w:ascii="Arial" w:hAnsi="Arial" w:cs="Arial"/>
          <w:b/>
          <w:bCs/>
          <w:i/>
          <w:iCs/>
          <w:sz w:val="28"/>
          <w:lang w:val="sr-Cyrl-CS"/>
        </w:rPr>
      </w:pPr>
      <w:r w:rsidRPr="00EE0129">
        <w:rPr>
          <w:rFonts w:ascii="Arial" w:hAnsi="Arial" w:cs="Arial"/>
          <w:b/>
          <w:bCs/>
          <w:i/>
          <w:iCs/>
          <w:noProof/>
          <w:sz w:val="28"/>
        </w:rPr>
        <w:drawing>
          <wp:inline distT="0" distB="0" distL="0" distR="0" wp14:anchorId="41B83FCA" wp14:editId="547408BD">
            <wp:extent cx="5734050" cy="332422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17504" w:rsidRPr="00C161F7" w:rsidRDefault="00217504" w:rsidP="005A77A9">
      <w:pPr>
        <w:ind w:left="360"/>
        <w:jc w:val="both"/>
        <w:rPr>
          <w:rFonts w:ascii="Arial" w:hAnsi="Arial" w:cs="Arial"/>
          <w:b/>
          <w:bCs/>
          <w:i/>
          <w:iCs/>
          <w:sz w:val="28"/>
          <w:highlight w:val="yellow"/>
          <w:lang w:val="sr-Cyrl-CS"/>
        </w:rPr>
      </w:pPr>
    </w:p>
    <w:p w:rsidR="006830E0" w:rsidRPr="00C161F7" w:rsidRDefault="006830E0" w:rsidP="005A77A9">
      <w:pPr>
        <w:ind w:left="360"/>
        <w:jc w:val="both"/>
        <w:rPr>
          <w:rFonts w:ascii="Arial" w:hAnsi="Arial" w:cs="Arial"/>
          <w:b/>
          <w:bCs/>
          <w:i/>
          <w:iCs/>
          <w:sz w:val="28"/>
          <w:highlight w:val="yellow"/>
          <w:lang w:val="sr-Cyrl-CS"/>
        </w:rPr>
      </w:pPr>
    </w:p>
    <w:p w:rsidR="006830E0" w:rsidRPr="00C161F7" w:rsidRDefault="006830E0" w:rsidP="005A77A9">
      <w:pPr>
        <w:ind w:left="360"/>
        <w:jc w:val="both"/>
        <w:rPr>
          <w:rFonts w:ascii="Arial" w:hAnsi="Arial" w:cs="Arial"/>
          <w:b/>
          <w:bCs/>
          <w:i/>
          <w:iCs/>
          <w:sz w:val="28"/>
          <w:highlight w:val="yellow"/>
          <w:lang w:val="sr-Cyrl-CS"/>
        </w:rPr>
      </w:pPr>
    </w:p>
    <w:p w:rsidR="005A77A9" w:rsidRPr="00EE0129" w:rsidRDefault="005A77A9" w:rsidP="0077299D">
      <w:pPr>
        <w:pStyle w:val="Heading1"/>
        <w:rPr>
          <w:rFonts w:ascii="Arial" w:hAnsi="Arial" w:cs="Arial"/>
          <w:sz w:val="24"/>
        </w:rPr>
      </w:pPr>
      <w:bookmarkStart w:id="76" w:name="_Toc481062268"/>
      <w:bookmarkStart w:id="77" w:name="_Toc500762435"/>
      <w:r w:rsidRPr="00EE0129">
        <w:rPr>
          <w:rFonts w:ascii="Arial" w:hAnsi="Arial" w:cs="Arial"/>
          <w:sz w:val="24"/>
        </w:rPr>
        <w:t>ПЛАН РАСПОДЈЕЛЕ ДОБИТИ</w:t>
      </w:r>
      <w:r w:rsidRPr="00EE0129">
        <w:rPr>
          <w:rFonts w:ascii="Arial" w:hAnsi="Arial" w:cs="Arial"/>
          <w:sz w:val="24"/>
          <w:lang w:val="sr-Cyrl-BA"/>
        </w:rPr>
        <w:t xml:space="preserve"> за 201</w:t>
      </w:r>
      <w:r w:rsidR="001E7BC9" w:rsidRPr="00EE0129">
        <w:rPr>
          <w:rFonts w:ascii="Arial" w:hAnsi="Arial" w:cs="Arial"/>
          <w:sz w:val="24"/>
          <w:lang w:val="sr-Cyrl-BA"/>
        </w:rPr>
        <w:t>8</w:t>
      </w:r>
      <w:r w:rsidRPr="00EE0129">
        <w:rPr>
          <w:rFonts w:ascii="Arial" w:hAnsi="Arial" w:cs="Arial"/>
          <w:sz w:val="24"/>
          <w:lang w:val="sr-Cyrl-BA"/>
        </w:rPr>
        <w:t>. годину</w:t>
      </w:r>
      <w:bookmarkEnd w:id="76"/>
      <w:bookmarkEnd w:id="77"/>
    </w:p>
    <w:p w:rsidR="005A77A9" w:rsidRPr="00EE0129" w:rsidRDefault="00AD2100" w:rsidP="005A77A9">
      <w:pPr>
        <w:jc w:val="both"/>
        <w:rPr>
          <w:rFonts w:ascii="Arial" w:hAnsi="Arial" w:cs="Arial"/>
          <w:sz w:val="28"/>
          <w:lang w:val="sr-Cyrl-CS"/>
        </w:rPr>
      </w:pPr>
      <w:r>
        <w:rPr>
          <w:rFonts w:ascii="Arial" w:hAnsi="Arial" w:cs="Arial"/>
          <w:b/>
          <w:i/>
          <w:iCs/>
          <w:sz w:val="28"/>
          <w:szCs w:val="28"/>
          <w:lang w:val="sr-Cyrl-CS"/>
        </w:rPr>
        <w:pict>
          <v:rect id="_x0000_i1029" style="width:0;height:1.5pt" o:hralign="center" o:hrstd="t" o:hr="t" fillcolor="gray" stroked="f"/>
        </w:pict>
      </w:r>
    </w:p>
    <w:p w:rsidR="005A77A9" w:rsidRPr="00EE012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EE012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EE0129" w:rsidRDefault="005A77A9" w:rsidP="005A77A9">
      <w:pPr>
        <w:jc w:val="both"/>
        <w:rPr>
          <w:rFonts w:ascii="Arial" w:hAnsi="Arial" w:cs="Arial"/>
          <w:sz w:val="22"/>
          <w:lang w:val="sr-Cyrl-CS"/>
        </w:rPr>
      </w:pPr>
      <w:r w:rsidRPr="00EE0129">
        <w:rPr>
          <w:rFonts w:ascii="Arial" w:hAnsi="Arial" w:cs="Arial"/>
          <w:sz w:val="22"/>
          <w:lang w:val="sr-Cyrl-CS"/>
        </w:rPr>
        <w:t xml:space="preserve">Остварена добит </w:t>
      </w:r>
      <w:r w:rsidRPr="00EE0129">
        <w:rPr>
          <w:rFonts w:ascii="Arial" w:hAnsi="Arial" w:cs="Arial"/>
          <w:sz w:val="22"/>
          <w:lang w:val="sr-Cyrl-BA"/>
        </w:rPr>
        <w:t>према</w:t>
      </w:r>
      <w:r w:rsidRPr="00EE0129">
        <w:rPr>
          <w:rFonts w:ascii="Arial" w:hAnsi="Arial" w:cs="Arial"/>
          <w:sz w:val="22"/>
          <w:lang w:val="sr-Cyrl-CS"/>
        </w:rPr>
        <w:t xml:space="preserve"> </w:t>
      </w:r>
      <w:r w:rsidR="00732D93" w:rsidRPr="00EE0129">
        <w:rPr>
          <w:rFonts w:ascii="Arial" w:hAnsi="Arial" w:cs="Arial"/>
          <w:sz w:val="22"/>
          <w:lang w:val="sr-Cyrl-CS"/>
        </w:rPr>
        <w:t>Ребалансу плана</w:t>
      </w:r>
      <w:r w:rsidRPr="00EE0129">
        <w:rPr>
          <w:rFonts w:ascii="Arial" w:hAnsi="Arial" w:cs="Arial"/>
          <w:sz w:val="22"/>
          <w:lang w:val="sr-Cyrl-RS"/>
        </w:rPr>
        <w:t xml:space="preserve"> </w:t>
      </w:r>
      <w:r w:rsidRPr="00EE0129">
        <w:rPr>
          <w:rFonts w:ascii="Arial" w:hAnsi="Arial" w:cs="Arial"/>
          <w:sz w:val="22"/>
          <w:lang w:val="sr-Cyrl-CS"/>
        </w:rPr>
        <w:t>за 20</w:t>
      </w:r>
      <w:r w:rsidRPr="00EE0129">
        <w:rPr>
          <w:rFonts w:ascii="Arial" w:hAnsi="Arial" w:cs="Arial"/>
          <w:sz w:val="22"/>
        </w:rPr>
        <w:t>1</w:t>
      </w:r>
      <w:r w:rsidR="001E7BC9" w:rsidRPr="00EE0129">
        <w:rPr>
          <w:rFonts w:ascii="Arial" w:hAnsi="Arial" w:cs="Arial"/>
          <w:sz w:val="22"/>
          <w:lang w:val="sr-Cyrl-BA"/>
        </w:rPr>
        <w:t>8</w:t>
      </w:r>
      <w:r w:rsidRPr="00EE0129">
        <w:rPr>
          <w:rFonts w:ascii="Arial" w:hAnsi="Arial" w:cs="Arial"/>
          <w:sz w:val="22"/>
          <w:lang w:val="sr-Cyrl-CS"/>
        </w:rPr>
        <w:t>. годину у</w:t>
      </w:r>
      <w:r w:rsidRPr="00EE0129">
        <w:rPr>
          <w:rFonts w:ascii="Arial" w:hAnsi="Arial" w:cs="Arial"/>
          <w:sz w:val="22"/>
          <w:lang w:val="sr-Cyrl-BA"/>
        </w:rPr>
        <w:t xml:space="preserve"> </w:t>
      </w:r>
      <w:r w:rsidRPr="00EE0129">
        <w:rPr>
          <w:rFonts w:ascii="Arial" w:hAnsi="Arial" w:cs="Arial"/>
          <w:sz w:val="22"/>
          <w:lang w:val="sr-Cyrl-CS"/>
        </w:rPr>
        <w:t>износу од</w:t>
      </w:r>
      <w:r w:rsidRPr="00EE0129">
        <w:rPr>
          <w:rFonts w:ascii="Arial" w:hAnsi="Arial" w:cs="Arial"/>
          <w:sz w:val="22"/>
          <w:lang w:val="sr-Cyrl-BA"/>
        </w:rPr>
        <w:t xml:space="preserve"> </w:t>
      </w:r>
      <w:r w:rsidR="006D1A65">
        <w:rPr>
          <w:rFonts w:ascii="Arial" w:hAnsi="Arial" w:cs="Arial"/>
          <w:sz w:val="22"/>
        </w:rPr>
        <w:t>269.839</w:t>
      </w:r>
      <w:r w:rsidR="00402934" w:rsidRPr="00EE0129">
        <w:rPr>
          <w:rFonts w:ascii="Arial" w:hAnsi="Arial" w:cs="Arial"/>
          <w:sz w:val="22"/>
          <w:lang w:val="sr-Latn-RS"/>
        </w:rPr>
        <w:t xml:space="preserve"> </w:t>
      </w:r>
      <w:r w:rsidRPr="00EE0129">
        <w:rPr>
          <w:rFonts w:ascii="Arial" w:hAnsi="Arial" w:cs="Arial"/>
          <w:sz w:val="22"/>
          <w:lang w:val="sr-Cyrl-CS"/>
        </w:rPr>
        <w:t xml:space="preserve">КМ </w:t>
      </w:r>
      <w:r w:rsidRPr="00EE0129">
        <w:rPr>
          <w:rFonts w:ascii="Arial" w:hAnsi="Arial" w:cs="Arial"/>
          <w:sz w:val="22"/>
          <w:lang w:val="sr-Cyrl-RS"/>
        </w:rPr>
        <w:t xml:space="preserve">(након пореза на добит) </w:t>
      </w:r>
      <w:r w:rsidRPr="00EE0129">
        <w:rPr>
          <w:rFonts w:ascii="Arial" w:hAnsi="Arial" w:cs="Arial"/>
          <w:sz w:val="22"/>
          <w:lang w:val="sr-Cyrl-CS"/>
        </w:rPr>
        <w:t>предлаже се за расподјелу на следећи начин:</w:t>
      </w:r>
    </w:p>
    <w:p w:rsidR="005A77A9" w:rsidRPr="00EE0129" w:rsidRDefault="005A77A9" w:rsidP="005A77A9">
      <w:pPr>
        <w:jc w:val="both"/>
        <w:rPr>
          <w:rFonts w:ascii="Arial" w:hAnsi="Arial" w:cs="Arial"/>
          <w:sz w:val="22"/>
          <w:lang w:val="sr-Cyrl-CS"/>
        </w:rPr>
      </w:pPr>
    </w:p>
    <w:p w:rsidR="005A77A9" w:rsidRPr="00EE0129" w:rsidRDefault="005A77A9" w:rsidP="0046227E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EE0129">
        <w:rPr>
          <w:rFonts w:ascii="Arial" w:hAnsi="Arial" w:cs="Arial"/>
          <w:sz w:val="22"/>
        </w:rPr>
        <w:t xml:space="preserve">50% </w:t>
      </w:r>
      <w:r w:rsidRPr="00EE0129">
        <w:rPr>
          <w:rFonts w:ascii="Arial" w:hAnsi="Arial" w:cs="Arial"/>
          <w:sz w:val="22"/>
          <w:lang w:val="sr-Cyrl-CS"/>
        </w:rPr>
        <w:t>издваја се у Законске резерве Предузећа (све до формирања</w:t>
      </w:r>
      <w:r w:rsidRPr="00EE0129">
        <w:rPr>
          <w:rFonts w:ascii="Arial" w:hAnsi="Arial" w:cs="Arial"/>
          <w:sz w:val="22"/>
          <w:lang w:val="sr-Latn-CS"/>
        </w:rPr>
        <w:t xml:space="preserve"> </w:t>
      </w:r>
      <w:r w:rsidRPr="00EE0129">
        <w:rPr>
          <w:rFonts w:ascii="Arial" w:hAnsi="Arial" w:cs="Arial"/>
          <w:sz w:val="22"/>
          <w:lang w:val="sr-Cyrl-CS"/>
        </w:rPr>
        <w:t>резерви у висини 10% основног капитала предузећа што произилаз</w:t>
      </w:r>
      <w:bookmarkStart w:id="78" w:name="_GoBack"/>
      <w:bookmarkEnd w:id="78"/>
      <w:r w:rsidRPr="00EE0129">
        <w:rPr>
          <w:rFonts w:ascii="Arial" w:hAnsi="Arial" w:cs="Arial"/>
          <w:sz w:val="22"/>
          <w:lang w:val="sr-Cyrl-CS"/>
        </w:rPr>
        <w:t>и из Статута предузећа)</w:t>
      </w:r>
      <w:r w:rsidRPr="00EE0129">
        <w:rPr>
          <w:rFonts w:ascii="Arial" w:hAnsi="Arial" w:cs="Arial"/>
          <w:sz w:val="22"/>
        </w:rPr>
        <w:t>,</w:t>
      </w:r>
    </w:p>
    <w:p w:rsidR="005A77A9" w:rsidRPr="00EE0129" w:rsidRDefault="005A77A9" w:rsidP="005A77A9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5A77A9" w:rsidRPr="00EE0129" w:rsidRDefault="005A77A9" w:rsidP="0046227E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EE0129">
        <w:rPr>
          <w:rFonts w:ascii="Arial" w:hAnsi="Arial" w:cs="Arial"/>
          <w:sz w:val="22"/>
        </w:rPr>
        <w:t>10% распоређује се на донације,</w:t>
      </w:r>
    </w:p>
    <w:p w:rsidR="005A77A9" w:rsidRPr="00EE0129" w:rsidRDefault="005A77A9" w:rsidP="005A77A9">
      <w:pPr>
        <w:ind w:left="420"/>
        <w:jc w:val="both"/>
        <w:rPr>
          <w:rFonts w:ascii="Arial" w:hAnsi="Arial" w:cs="Arial"/>
          <w:sz w:val="22"/>
          <w:lang w:val="sr-Cyrl-CS"/>
        </w:rPr>
      </w:pPr>
    </w:p>
    <w:p w:rsidR="00E62416" w:rsidRPr="00EE0129" w:rsidRDefault="005A77A9" w:rsidP="0046227E">
      <w:pPr>
        <w:numPr>
          <w:ilvl w:val="0"/>
          <w:numId w:val="11"/>
        </w:numPr>
        <w:jc w:val="both"/>
        <w:rPr>
          <w:rFonts w:ascii="Arial" w:hAnsi="Arial" w:cs="Arial"/>
          <w:sz w:val="22"/>
          <w:lang w:val="sr-Cyrl-CS"/>
        </w:rPr>
      </w:pPr>
      <w:r w:rsidRPr="00EE0129">
        <w:rPr>
          <w:rFonts w:ascii="Arial" w:hAnsi="Arial" w:cs="Arial"/>
          <w:sz w:val="22"/>
          <w:lang w:val="sr-Cyrl-BA"/>
        </w:rPr>
        <w:t xml:space="preserve">40% добити распоређује се на позицију </w:t>
      </w:r>
      <w:r w:rsidR="00813858" w:rsidRPr="00EE0129">
        <w:rPr>
          <w:rFonts w:ascii="Arial" w:hAnsi="Arial" w:cs="Arial"/>
          <w:sz w:val="22"/>
          <w:lang w:val="sr-Cyrl-RS"/>
        </w:rPr>
        <w:t>Н</w:t>
      </w:r>
      <w:r w:rsidRPr="00EE0129">
        <w:rPr>
          <w:rFonts w:ascii="Arial" w:hAnsi="Arial" w:cs="Arial"/>
          <w:sz w:val="22"/>
          <w:lang w:val="sr-Cyrl-BA"/>
        </w:rPr>
        <w:t>ераспоређена добит.</w:t>
      </w:r>
      <w:r w:rsidR="00475072" w:rsidRPr="00EE0129">
        <w:rPr>
          <w:rFonts w:ascii="Arial" w:hAnsi="Arial" w:cs="Arial"/>
          <w:sz w:val="22"/>
          <w:lang w:val="sr-Cyrl-CS"/>
        </w:rPr>
        <w:t xml:space="preserve"> </w:t>
      </w:r>
    </w:p>
    <w:p w:rsidR="00813858" w:rsidRPr="00EE0129" w:rsidRDefault="00813858" w:rsidP="006830E0">
      <w:pPr>
        <w:jc w:val="both"/>
        <w:rPr>
          <w:rFonts w:ascii="Arial" w:hAnsi="Arial" w:cs="Arial"/>
          <w:sz w:val="22"/>
          <w:lang w:val="sr-Cyrl-CS"/>
        </w:rPr>
      </w:pPr>
    </w:p>
    <w:p w:rsidR="00F2066C" w:rsidRPr="00EE0129" w:rsidRDefault="00F2066C" w:rsidP="006830E0">
      <w:pPr>
        <w:jc w:val="both"/>
        <w:rPr>
          <w:rFonts w:ascii="Arial" w:hAnsi="Arial" w:cs="Arial"/>
          <w:sz w:val="22"/>
          <w:lang w:val="sr-Cyrl-CS"/>
        </w:rPr>
      </w:pPr>
    </w:p>
    <w:p w:rsidR="00F2066C" w:rsidRPr="00EE0129" w:rsidRDefault="00F2066C" w:rsidP="006830E0">
      <w:pPr>
        <w:jc w:val="both"/>
        <w:rPr>
          <w:rFonts w:ascii="Arial" w:hAnsi="Arial" w:cs="Arial"/>
          <w:sz w:val="22"/>
          <w:lang w:val="sr-Cyrl-CS"/>
        </w:rPr>
      </w:pPr>
    </w:p>
    <w:p w:rsidR="006830E0" w:rsidRPr="00EE0129" w:rsidRDefault="001C5E8B" w:rsidP="001C5E8B">
      <w:pPr>
        <w:pStyle w:val="Caption"/>
        <w:rPr>
          <w:rFonts w:ascii="Arial" w:hAnsi="Arial" w:cs="Arial"/>
          <w:b w:val="0"/>
          <w:sz w:val="22"/>
          <w:lang w:val="sr-Cyrl-CS"/>
        </w:rPr>
      </w:pPr>
      <w:bookmarkStart w:id="79" w:name="_Toc500767369"/>
      <w:r w:rsidRPr="00EE0129">
        <w:rPr>
          <w:rFonts w:ascii="Arial" w:hAnsi="Arial" w:cs="Arial"/>
          <w:b w:val="0"/>
        </w:rPr>
        <w:t xml:space="preserve">Графикон  </w:t>
      </w:r>
      <w:r w:rsidRPr="00EE0129">
        <w:rPr>
          <w:rFonts w:ascii="Arial" w:hAnsi="Arial" w:cs="Arial"/>
          <w:b w:val="0"/>
        </w:rPr>
        <w:fldChar w:fldCharType="begin"/>
      </w:r>
      <w:r w:rsidRPr="00EE0129">
        <w:rPr>
          <w:rFonts w:ascii="Arial" w:hAnsi="Arial" w:cs="Arial"/>
          <w:b w:val="0"/>
        </w:rPr>
        <w:instrText xml:space="preserve"> SEQ Графикон_ \* ARABIC </w:instrText>
      </w:r>
      <w:r w:rsidRPr="00EE0129">
        <w:rPr>
          <w:rFonts w:ascii="Arial" w:hAnsi="Arial" w:cs="Arial"/>
          <w:b w:val="0"/>
        </w:rPr>
        <w:fldChar w:fldCharType="separate"/>
      </w:r>
      <w:r w:rsidR="00322822" w:rsidRPr="00EE0129">
        <w:rPr>
          <w:rFonts w:ascii="Arial" w:hAnsi="Arial" w:cs="Arial"/>
          <w:b w:val="0"/>
          <w:noProof/>
        </w:rPr>
        <w:t>8</w:t>
      </w:r>
      <w:r w:rsidRPr="00EE0129">
        <w:rPr>
          <w:rFonts w:ascii="Arial" w:hAnsi="Arial" w:cs="Arial"/>
          <w:b w:val="0"/>
        </w:rPr>
        <w:fldChar w:fldCharType="end"/>
      </w:r>
      <w:r w:rsidRPr="00EE0129">
        <w:rPr>
          <w:rFonts w:ascii="Arial" w:hAnsi="Arial" w:cs="Arial"/>
          <w:b w:val="0"/>
          <w:lang w:val="sr-Cyrl-CS"/>
        </w:rPr>
        <w:t xml:space="preserve"> План расподјеле добити</w:t>
      </w:r>
      <w:bookmarkEnd w:id="79"/>
    </w:p>
    <w:p w:rsidR="006830E0" w:rsidRPr="00C161F7" w:rsidRDefault="006830E0" w:rsidP="006830E0">
      <w:pPr>
        <w:jc w:val="both"/>
        <w:rPr>
          <w:rFonts w:ascii="Arial" w:hAnsi="Arial" w:cs="Arial"/>
          <w:sz w:val="22"/>
          <w:highlight w:val="yellow"/>
          <w:lang w:val="sr-Cyrl-CS"/>
        </w:rPr>
      </w:pPr>
      <w:r w:rsidRPr="00C161F7">
        <w:rPr>
          <w:rFonts w:ascii="Arial" w:hAnsi="Arial" w:cs="Arial"/>
          <w:noProof/>
          <w:sz w:val="22"/>
          <w:highlight w:val="yellow"/>
        </w:rPr>
        <w:drawing>
          <wp:inline distT="0" distB="0" distL="0" distR="0" wp14:anchorId="5A3C425F" wp14:editId="54CB0A35">
            <wp:extent cx="5486400" cy="32004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6830E0" w:rsidRPr="00C161F7" w:rsidRDefault="006830E0" w:rsidP="006830E0">
      <w:pPr>
        <w:jc w:val="both"/>
        <w:rPr>
          <w:rFonts w:ascii="Arial" w:hAnsi="Arial" w:cs="Arial"/>
          <w:sz w:val="22"/>
          <w:highlight w:val="yellow"/>
          <w:lang w:val="sr-Cyrl-CS"/>
        </w:rPr>
      </w:pPr>
    </w:p>
    <w:p w:rsidR="006830E0" w:rsidRPr="00C161F7" w:rsidRDefault="006830E0" w:rsidP="006830E0">
      <w:pPr>
        <w:jc w:val="both"/>
        <w:rPr>
          <w:rFonts w:ascii="Arial" w:hAnsi="Arial" w:cs="Arial"/>
          <w:sz w:val="22"/>
          <w:highlight w:val="yellow"/>
          <w:lang w:val="sr-Cyrl-CS"/>
        </w:rPr>
        <w:sectPr w:rsidR="006830E0" w:rsidRPr="00C161F7" w:rsidSect="00524A0C">
          <w:footerReference w:type="first" r:id="rId21"/>
          <w:type w:val="continuous"/>
          <w:pgSz w:w="12240" w:h="15840" w:code="1"/>
          <w:pgMar w:top="1440" w:right="1440" w:bottom="1440" w:left="1440" w:header="706" w:footer="706" w:gutter="0"/>
          <w:cols w:space="708"/>
          <w:titlePg/>
          <w:docGrid w:linePitch="360"/>
        </w:sectPr>
      </w:pPr>
    </w:p>
    <w:p w:rsidR="005A77A9" w:rsidRPr="00C161F7" w:rsidRDefault="005A77A9">
      <w:pPr>
        <w:spacing w:after="200" w:line="276" w:lineRule="auto"/>
        <w:rPr>
          <w:highlight w:val="yellow"/>
        </w:rPr>
      </w:pPr>
    </w:p>
    <w:p w:rsidR="005A77A9" w:rsidRPr="00C161F7" w:rsidRDefault="005A77A9" w:rsidP="005A77A9">
      <w:pPr>
        <w:rPr>
          <w:highlight w:val="yellow"/>
        </w:rPr>
      </w:pPr>
    </w:p>
    <w:p w:rsidR="00DB3F60" w:rsidRPr="00EE0129" w:rsidRDefault="00DB3F60" w:rsidP="00EE0129">
      <w:pPr>
        <w:spacing w:after="200" w:line="276" w:lineRule="auto"/>
        <w:rPr>
          <w:highlight w:val="yellow"/>
        </w:rPr>
      </w:pPr>
    </w:p>
    <w:sectPr w:rsidR="00DB3F60" w:rsidRPr="00EE0129" w:rsidSect="00524A0C">
      <w:type w:val="continuous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100" w:rsidRDefault="00AD2100" w:rsidP="005A77A9">
      <w:r>
        <w:separator/>
      </w:r>
    </w:p>
  </w:endnote>
  <w:endnote w:type="continuationSeparator" w:id="0">
    <w:p w:rsidR="00AD2100" w:rsidRDefault="00AD2100" w:rsidP="005A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TimesRoman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YU L Friz Quadrata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C6" w:rsidRDefault="00B129C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9409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29C6" w:rsidRDefault="00B129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A65"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:rsidR="00B129C6" w:rsidRPr="00756DFD" w:rsidRDefault="00B129C6">
    <w:pPr>
      <w:pStyle w:val="Footer"/>
      <w:rPr>
        <w:rFonts w:ascii="Arial" w:hAnsi="Arial" w:cs="Arial"/>
        <w:i/>
        <w:iCs/>
        <w:color w:val="365F91"/>
        <w:sz w:val="20"/>
        <w:lang w:val="sr-Cyrl-C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C6" w:rsidRDefault="00B129C6">
    <w:pPr>
      <w:pStyle w:val="Footer"/>
      <w:jc w:val="right"/>
    </w:pPr>
  </w:p>
  <w:p w:rsidR="00B129C6" w:rsidRDefault="00B129C6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C6" w:rsidRDefault="00B129C6">
    <w:pPr>
      <w:pStyle w:val="Footer"/>
      <w:jc w:val="right"/>
    </w:pPr>
  </w:p>
  <w:p w:rsidR="00B129C6" w:rsidRDefault="00B129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100" w:rsidRDefault="00AD2100" w:rsidP="005A77A9">
      <w:r>
        <w:separator/>
      </w:r>
    </w:p>
  </w:footnote>
  <w:footnote w:type="continuationSeparator" w:id="0">
    <w:p w:rsidR="00AD2100" w:rsidRDefault="00AD2100" w:rsidP="005A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9C6" w:rsidRPr="00D16767" w:rsidRDefault="00B129C6">
    <w:pPr>
      <w:pStyle w:val="Header"/>
      <w:tabs>
        <w:tab w:val="clear" w:pos="4320"/>
        <w:tab w:val="clear" w:pos="8640"/>
        <w:tab w:val="left" w:pos="1380"/>
      </w:tabs>
      <w:rPr>
        <w:i/>
        <w:iCs/>
        <w:color w:val="365F91"/>
        <w:sz w:val="22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0563A"/>
    <w:multiLevelType w:val="hybridMultilevel"/>
    <w:tmpl w:val="64DA87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4E1F"/>
    <w:multiLevelType w:val="hybridMultilevel"/>
    <w:tmpl w:val="9274F25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A9150A"/>
    <w:multiLevelType w:val="hybridMultilevel"/>
    <w:tmpl w:val="9ECEEA90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89498C"/>
    <w:multiLevelType w:val="hybridMultilevel"/>
    <w:tmpl w:val="AB44DB26"/>
    <w:lvl w:ilvl="0" w:tplc="0478E74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DF19DA"/>
    <w:multiLevelType w:val="hybridMultilevel"/>
    <w:tmpl w:val="FF6A199C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CFF3B59"/>
    <w:multiLevelType w:val="hybridMultilevel"/>
    <w:tmpl w:val="024C7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06242DB"/>
    <w:multiLevelType w:val="multilevel"/>
    <w:tmpl w:val="E83A93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>
    <w:nsid w:val="175C5B66"/>
    <w:multiLevelType w:val="hybridMultilevel"/>
    <w:tmpl w:val="6CF8F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97975FC"/>
    <w:multiLevelType w:val="hybridMultilevel"/>
    <w:tmpl w:val="15D2625C"/>
    <w:lvl w:ilvl="0" w:tplc="04090007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D382908"/>
    <w:multiLevelType w:val="hybridMultilevel"/>
    <w:tmpl w:val="8F10EE84"/>
    <w:lvl w:ilvl="0" w:tplc="602CE44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C8063A"/>
    <w:multiLevelType w:val="hybridMultilevel"/>
    <w:tmpl w:val="1562A6C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42B94"/>
    <w:multiLevelType w:val="hybridMultilevel"/>
    <w:tmpl w:val="EE3AE29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1D76C18"/>
    <w:multiLevelType w:val="hybridMultilevel"/>
    <w:tmpl w:val="5B18FBBA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990A36"/>
    <w:multiLevelType w:val="hybridMultilevel"/>
    <w:tmpl w:val="C3260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64543E"/>
    <w:multiLevelType w:val="hybridMultilevel"/>
    <w:tmpl w:val="8FDA2202"/>
    <w:lvl w:ilvl="0" w:tplc="349CA9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C2FEF"/>
    <w:multiLevelType w:val="hybridMultilevel"/>
    <w:tmpl w:val="41084F42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2D416427"/>
    <w:multiLevelType w:val="hybridMultilevel"/>
    <w:tmpl w:val="013E06F6"/>
    <w:lvl w:ilvl="0" w:tplc="181A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3972D0"/>
    <w:multiLevelType w:val="hybridMultilevel"/>
    <w:tmpl w:val="C13E23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F851D0"/>
    <w:multiLevelType w:val="hybridMultilevel"/>
    <w:tmpl w:val="7F6A738E"/>
    <w:lvl w:ilvl="0" w:tplc="04090007">
      <w:start w:val="1"/>
      <w:numFmt w:val="bullet"/>
      <w:lvlText w:val="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B2C6F8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40E6009A"/>
    <w:multiLevelType w:val="hybridMultilevel"/>
    <w:tmpl w:val="76E22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B4106E"/>
    <w:multiLevelType w:val="hybridMultilevel"/>
    <w:tmpl w:val="F81E5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891739"/>
    <w:multiLevelType w:val="hybridMultilevel"/>
    <w:tmpl w:val="4A3A1A2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1F4288"/>
    <w:multiLevelType w:val="hybridMultilevel"/>
    <w:tmpl w:val="6ADAA38C"/>
    <w:lvl w:ilvl="0" w:tplc="9EE68930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3F0702"/>
    <w:multiLevelType w:val="hybridMultilevel"/>
    <w:tmpl w:val="1518A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D140F6"/>
    <w:multiLevelType w:val="hybridMultilevel"/>
    <w:tmpl w:val="B220F746"/>
    <w:lvl w:ilvl="0" w:tplc="602CE44E">
      <w:start w:val="1"/>
      <w:numFmt w:val="bullet"/>
      <w:lvlText w:val="˗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5C8653C5"/>
    <w:multiLevelType w:val="multilevel"/>
    <w:tmpl w:val="77989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BD1ACF"/>
    <w:multiLevelType w:val="hybridMultilevel"/>
    <w:tmpl w:val="2A4C29B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0DE6D6D"/>
    <w:multiLevelType w:val="hybridMultilevel"/>
    <w:tmpl w:val="79F08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6B5EBE"/>
    <w:multiLevelType w:val="hybridMultilevel"/>
    <w:tmpl w:val="971EF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352414"/>
    <w:multiLevelType w:val="hybridMultilevel"/>
    <w:tmpl w:val="83FAB69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A7266A0"/>
    <w:multiLevelType w:val="hybridMultilevel"/>
    <w:tmpl w:val="B09E0D90"/>
    <w:lvl w:ilvl="0" w:tplc="0478E74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A15B1A"/>
    <w:multiLevelType w:val="hybridMultilevel"/>
    <w:tmpl w:val="4510E530"/>
    <w:lvl w:ilvl="0" w:tplc="D7C42A7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36E13A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3F7193B"/>
    <w:multiLevelType w:val="hybridMultilevel"/>
    <w:tmpl w:val="EC6C88F0"/>
    <w:lvl w:ilvl="0" w:tplc="78A836D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0"/>
  </w:num>
  <w:num w:numId="5">
    <w:abstractNumId w:val="22"/>
  </w:num>
  <w:num w:numId="6">
    <w:abstractNumId w:val="30"/>
  </w:num>
  <w:num w:numId="7">
    <w:abstractNumId w:val="12"/>
  </w:num>
  <w:num w:numId="8">
    <w:abstractNumId w:val="19"/>
  </w:num>
  <w:num w:numId="9">
    <w:abstractNumId w:val="5"/>
  </w:num>
  <w:num w:numId="10">
    <w:abstractNumId w:val="2"/>
  </w:num>
  <w:num w:numId="11">
    <w:abstractNumId w:val="9"/>
  </w:num>
  <w:num w:numId="12">
    <w:abstractNumId w:val="23"/>
  </w:num>
  <w:num w:numId="13">
    <w:abstractNumId w:val="32"/>
  </w:num>
  <w:num w:numId="14">
    <w:abstractNumId w:val="27"/>
  </w:num>
  <w:num w:numId="15">
    <w:abstractNumId w:val="4"/>
  </w:num>
  <w:num w:numId="16">
    <w:abstractNumId w:val="15"/>
  </w:num>
  <w:num w:numId="17">
    <w:abstractNumId w:val="10"/>
  </w:num>
  <w:num w:numId="18">
    <w:abstractNumId w:val="25"/>
  </w:num>
  <w:num w:numId="19">
    <w:abstractNumId w:val="14"/>
  </w:num>
  <w:num w:numId="20">
    <w:abstractNumId w:val="16"/>
  </w:num>
  <w:num w:numId="21">
    <w:abstractNumId w:val="8"/>
  </w:num>
  <w:num w:numId="22">
    <w:abstractNumId w:val="28"/>
  </w:num>
  <w:num w:numId="23">
    <w:abstractNumId w:val="17"/>
  </w:num>
  <w:num w:numId="24">
    <w:abstractNumId w:val="6"/>
  </w:num>
  <w:num w:numId="25">
    <w:abstractNumId w:val="1"/>
  </w:num>
  <w:num w:numId="26">
    <w:abstractNumId w:val="33"/>
  </w:num>
  <w:num w:numId="27">
    <w:abstractNumId w:val="34"/>
  </w:num>
  <w:num w:numId="28">
    <w:abstractNumId w:val="26"/>
  </w:num>
  <w:num w:numId="29">
    <w:abstractNumId w:val="24"/>
  </w:num>
  <w:num w:numId="30">
    <w:abstractNumId w:val="3"/>
  </w:num>
  <w:num w:numId="31">
    <w:abstractNumId w:val="7"/>
  </w:num>
  <w:num w:numId="32">
    <w:abstractNumId w:val="18"/>
  </w:num>
  <w:num w:numId="33">
    <w:abstractNumId w:val="31"/>
  </w:num>
  <w:num w:numId="34">
    <w:abstractNumId w:val="29"/>
  </w:num>
  <w:num w:numId="35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CC"/>
    <w:rsid w:val="000019D5"/>
    <w:rsid w:val="000035DB"/>
    <w:rsid w:val="0001532D"/>
    <w:rsid w:val="00015953"/>
    <w:rsid w:val="000206C5"/>
    <w:rsid w:val="00021455"/>
    <w:rsid w:val="000237E6"/>
    <w:rsid w:val="00023E47"/>
    <w:rsid w:val="00030CB2"/>
    <w:rsid w:val="00030E18"/>
    <w:rsid w:val="000312E7"/>
    <w:rsid w:val="00033332"/>
    <w:rsid w:val="00033D94"/>
    <w:rsid w:val="000363EB"/>
    <w:rsid w:val="00041749"/>
    <w:rsid w:val="00041B8B"/>
    <w:rsid w:val="00042060"/>
    <w:rsid w:val="00047D18"/>
    <w:rsid w:val="00061609"/>
    <w:rsid w:val="00063F37"/>
    <w:rsid w:val="00074294"/>
    <w:rsid w:val="000758DA"/>
    <w:rsid w:val="00082FB6"/>
    <w:rsid w:val="0008628C"/>
    <w:rsid w:val="0008753D"/>
    <w:rsid w:val="00097E4E"/>
    <w:rsid w:val="000B2F9D"/>
    <w:rsid w:val="000B3C1F"/>
    <w:rsid w:val="000C0919"/>
    <w:rsid w:val="000D7926"/>
    <w:rsid w:val="000E48E2"/>
    <w:rsid w:val="000E6101"/>
    <w:rsid w:val="000F3E88"/>
    <w:rsid w:val="000F6DCE"/>
    <w:rsid w:val="00120469"/>
    <w:rsid w:val="0012326F"/>
    <w:rsid w:val="0012680F"/>
    <w:rsid w:val="00127B13"/>
    <w:rsid w:val="001314DF"/>
    <w:rsid w:val="001319D4"/>
    <w:rsid w:val="00133AAB"/>
    <w:rsid w:val="00134A85"/>
    <w:rsid w:val="001366DD"/>
    <w:rsid w:val="00136AE4"/>
    <w:rsid w:val="00137DFE"/>
    <w:rsid w:val="00140162"/>
    <w:rsid w:val="001408C5"/>
    <w:rsid w:val="00146CE2"/>
    <w:rsid w:val="0014775B"/>
    <w:rsid w:val="00151F27"/>
    <w:rsid w:val="00153458"/>
    <w:rsid w:val="00154A2D"/>
    <w:rsid w:val="00154A5D"/>
    <w:rsid w:val="001651F3"/>
    <w:rsid w:val="00167CC9"/>
    <w:rsid w:val="00173593"/>
    <w:rsid w:val="0018498C"/>
    <w:rsid w:val="0019083F"/>
    <w:rsid w:val="00193AC7"/>
    <w:rsid w:val="00194769"/>
    <w:rsid w:val="00197914"/>
    <w:rsid w:val="001A05D9"/>
    <w:rsid w:val="001A10DC"/>
    <w:rsid w:val="001A3C37"/>
    <w:rsid w:val="001A5290"/>
    <w:rsid w:val="001B4FAC"/>
    <w:rsid w:val="001B5738"/>
    <w:rsid w:val="001C2468"/>
    <w:rsid w:val="001C2B0F"/>
    <w:rsid w:val="001C5E8B"/>
    <w:rsid w:val="001C76C6"/>
    <w:rsid w:val="001D2C04"/>
    <w:rsid w:val="001D37CC"/>
    <w:rsid w:val="001E1663"/>
    <w:rsid w:val="001E3A76"/>
    <w:rsid w:val="001E6892"/>
    <w:rsid w:val="001E7BC9"/>
    <w:rsid w:val="00201C1C"/>
    <w:rsid w:val="00212B49"/>
    <w:rsid w:val="00213A9D"/>
    <w:rsid w:val="00215A6E"/>
    <w:rsid w:val="002163FF"/>
    <w:rsid w:val="00217504"/>
    <w:rsid w:val="002177FA"/>
    <w:rsid w:val="00221045"/>
    <w:rsid w:val="00240A66"/>
    <w:rsid w:val="00243DA4"/>
    <w:rsid w:val="00247C31"/>
    <w:rsid w:val="0025210C"/>
    <w:rsid w:val="002535F7"/>
    <w:rsid w:val="0025451B"/>
    <w:rsid w:val="00257A42"/>
    <w:rsid w:val="00263980"/>
    <w:rsid w:val="00266F12"/>
    <w:rsid w:val="002673D9"/>
    <w:rsid w:val="00270019"/>
    <w:rsid w:val="00271103"/>
    <w:rsid w:val="0027220F"/>
    <w:rsid w:val="002739EA"/>
    <w:rsid w:val="002925D9"/>
    <w:rsid w:val="002970B7"/>
    <w:rsid w:val="0029728A"/>
    <w:rsid w:val="002A1914"/>
    <w:rsid w:val="002B3440"/>
    <w:rsid w:val="002B5853"/>
    <w:rsid w:val="002C5088"/>
    <w:rsid w:val="002D2F56"/>
    <w:rsid w:val="002E45B6"/>
    <w:rsid w:val="002E4771"/>
    <w:rsid w:val="002E6C1C"/>
    <w:rsid w:val="002F1219"/>
    <w:rsid w:val="002F1DFB"/>
    <w:rsid w:val="002F5B5A"/>
    <w:rsid w:val="00301D98"/>
    <w:rsid w:val="00310B99"/>
    <w:rsid w:val="00312FD8"/>
    <w:rsid w:val="0031579C"/>
    <w:rsid w:val="00322696"/>
    <w:rsid w:val="00322822"/>
    <w:rsid w:val="0033362E"/>
    <w:rsid w:val="00344BDF"/>
    <w:rsid w:val="00345FC6"/>
    <w:rsid w:val="003506C8"/>
    <w:rsid w:val="00351FF3"/>
    <w:rsid w:val="00356E5F"/>
    <w:rsid w:val="00364067"/>
    <w:rsid w:val="003647EA"/>
    <w:rsid w:val="00365250"/>
    <w:rsid w:val="003652D1"/>
    <w:rsid w:val="003672DE"/>
    <w:rsid w:val="00370650"/>
    <w:rsid w:val="00375B8A"/>
    <w:rsid w:val="00390ABA"/>
    <w:rsid w:val="00391DC8"/>
    <w:rsid w:val="00391F04"/>
    <w:rsid w:val="00393C4D"/>
    <w:rsid w:val="0039534F"/>
    <w:rsid w:val="003A023E"/>
    <w:rsid w:val="003A1C2A"/>
    <w:rsid w:val="003A5E3C"/>
    <w:rsid w:val="003A759E"/>
    <w:rsid w:val="003B57C7"/>
    <w:rsid w:val="003C1D57"/>
    <w:rsid w:val="003D15A3"/>
    <w:rsid w:val="003D5328"/>
    <w:rsid w:val="003D5653"/>
    <w:rsid w:val="003E1431"/>
    <w:rsid w:val="003E4314"/>
    <w:rsid w:val="003E52C7"/>
    <w:rsid w:val="003E5828"/>
    <w:rsid w:val="003F4F19"/>
    <w:rsid w:val="003F4F89"/>
    <w:rsid w:val="003F5A7A"/>
    <w:rsid w:val="003F712B"/>
    <w:rsid w:val="00402934"/>
    <w:rsid w:val="00402C33"/>
    <w:rsid w:val="004054DF"/>
    <w:rsid w:val="00412EF6"/>
    <w:rsid w:val="0041660D"/>
    <w:rsid w:val="004170BB"/>
    <w:rsid w:val="0042052F"/>
    <w:rsid w:val="00430C48"/>
    <w:rsid w:val="00433CB4"/>
    <w:rsid w:val="004352BC"/>
    <w:rsid w:val="004379F6"/>
    <w:rsid w:val="00444601"/>
    <w:rsid w:val="0045337D"/>
    <w:rsid w:val="004563EF"/>
    <w:rsid w:val="0046227E"/>
    <w:rsid w:val="00462625"/>
    <w:rsid w:val="00464417"/>
    <w:rsid w:val="00475072"/>
    <w:rsid w:val="00475A41"/>
    <w:rsid w:val="00475F15"/>
    <w:rsid w:val="004778F3"/>
    <w:rsid w:val="004874E0"/>
    <w:rsid w:val="00487896"/>
    <w:rsid w:val="004A3FDB"/>
    <w:rsid w:val="004A7BD1"/>
    <w:rsid w:val="004B2428"/>
    <w:rsid w:val="004B2DF5"/>
    <w:rsid w:val="004B4BF8"/>
    <w:rsid w:val="004B4DCA"/>
    <w:rsid w:val="004C4767"/>
    <w:rsid w:val="004D3D1B"/>
    <w:rsid w:val="004D5871"/>
    <w:rsid w:val="004D70F6"/>
    <w:rsid w:val="004E3518"/>
    <w:rsid w:val="004E5E26"/>
    <w:rsid w:val="004E6B1D"/>
    <w:rsid w:val="004F0078"/>
    <w:rsid w:val="004F2F4E"/>
    <w:rsid w:val="004F68A5"/>
    <w:rsid w:val="0050547F"/>
    <w:rsid w:val="00507086"/>
    <w:rsid w:val="00507E05"/>
    <w:rsid w:val="00512250"/>
    <w:rsid w:val="005123AB"/>
    <w:rsid w:val="005137CF"/>
    <w:rsid w:val="005222AB"/>
    <w:rsid w:val="00522824"/>
    <w:rsid w:val="00524A0C"/>
    <w:rsid w:val="00532870"/>
    <w:rsid w:val="0053454D"/>
    <w:rsid w:val="0054013A"/>
    <w:rsid w:val="00546307"/>
    <w:rsid w:val="00554C40"/>
    <w:rsid w:val="0056446E"/>
    <w:rsid w:val="00565A25"/>
    <w:rsid w:val="005660ED"/>
    <w:rsid w:val="005750AD"/>
    <w:rsid w:val="00584416"/>
    <w:rsid w:val="00586F28"/>
    <w:rsid w:val="00591BF4"/>
    <w:rsid w:val="00591E18"/>
    <w:rsid w:val="00593174"/>
    <w:rsid w:val="00594524"/>
    <w:rsid w:val="00594D69"/>
    <w:rsid w:val="00596AAD"/>
    <w:rsid w:val="005A21FE"/>
    <w:rsid w:val="005A62A7"/>
    <w:rsid w:val="005A77A9"/>
    <w:rsid w:val="005B3375"/>
    <w:rsid w:val="005B3B7F"/>
    <w:rsid w:val="005B77EE"/>
    <w:rsid w:val="005C2A34"/>
    <w:rsid w:val="005C6A76"/>
    <w:rsid w:val="005C7098"/>
    <w:rsid w:val="005D6F4B"/>
    <w:rsid w:val="005E230A"/>
    <w:rsid w:val="005E2E5D"/>
    <w:rsid w:val="005E6040"/>
    <w:rsid w:val="005E6F6B"/>
    <w:rsid w:val="005F2202"/>
    <w:rsid w:val="005F6C7C"/>
    <w:rsid w:val="00600C9E"/>
    <w:rsid w:val="00602E59"/>
    <w:rsid w:val="00606EC5"/>
    <w:rsid w:val="00611B3A"/>
    <w:rsid w:val="00612838"/>
    <w:rsid w:val="00621391"/>
    <w:rsid w:val="00621C27"/>
    <w:rsid w:val="00621F43"/>
    <w:rsid w:val="00630A71"/>
    <w:rsid w:val="00630BAE"/>
    <w:rsid w:val="00631D71"/>
    <w:rsid w:val="00653C94"/>
    <w:rsid w:val="006540F0"/>
    <w:rsid w:val="0067013E"/>
    <w:rsid w:val="00673464"/>
    <w:rsid w:val="00673E17"/>
    <w:rsid w:val="00674CEF"/>
    <w:rsid w:val="00682C09"/>
    <w:rsid w:val="006830E0"/>
    <w:rsid w:val="00690AA0"/>
    <w:rsid w:val="006A490E"/>
    <w:rsid w:val="006B0603"/>
    <w:rsid w:val="006B4BA3"/>
    <w:rsid w:val="006B53CB"/>
    <w:rsid w:val="006C548E"/>
    <w:rsid w:val="006D134E"/>
    <w:rsid w:val="006D1A65"/>
    <w:rsid w:val="006D2207"/>
    <w:rsid w:val="006D27CD"/>
    <w:rsid w:val="006D3830"/>
    <w:rsid w:val="00704AB7"/>
    <w:rsid w:val="0070659D"/>
    <w:rsid w:val="007109CC"/>
    <w:rsid w:val="00716F34"/>
    <w:rsid w:val="00717981"/>
    <w:rsid w:val="00721CAB"/>
    <w:rsid w:val="00724E50"/>
    <w:rsid w:val="007266DD"/>
    <w:rsid w:val="00727929"/>
    <w:rsid w:val="00732D93"/>
    <w:rsid w:val="007343BA"/>
    <w:rsid w:val="007510DE"/>
    <w:rsid w:val="007532A4"/>
    <w:rsid w:val="00753989"/>
    <w:rsid w:val="00755DB5"/>
    <w:rsid w:val="00756B2A"/>
    <w:rsid w:val="007620F7"/>
    <w:rsid w:val="0077299D"/>
    <w:rsid w:val="00774CC1"/>
    <w:rsid w:val="00775761"/>
    <w:rsid w:val="00777AA0"/>
    <w:rsid w:val="00780B71"/>
    <w:rsid w:val="0078358D"/>
    <w:rsid w:val="007869AE"/>
    <w:rsid w:val="00791AD4"/>
    <w:rsid w:val="00797F1B"/>
    <w:rsid w:val="007A273F"/>
    <w:rsid w:val="007A6249"/>
    <w:rsid w:val="007A7E06"/>
    <w:rsid w:val="007B7353"/>
    <w:rsid w:val="007C42BA"/>
    <w:rsid w:val="007C4D47"/>
    <w:rsid w:val="007C4E2A"/>
    <w:rsid w:val="007D1DDD"/>
    <w:rsid w:val="007D2426"/>
    <w:rsid w:val="007E09D5"/>
    <w:rsid w:val="007E1093"/>
    <w:rsid w:val="007F38F5"/>
    <w:rsid w:val="007F3C69"/>
    <w:rsid w:val="007F5645"/>
    <w:rsid w:val="007F6E68"/>
    <w:rsid w:val="00800C6A"/>
    <w:rsid w:val="00800D70"/>
    <w:rsid w:val="00813858"/>
    <w:rsid w:val="008259F2"/>
    <w:rsid w:val="00830172"/>
    <w:rsid w:val="00830C44"/>
    <w:rsid w:val="008409BF"/>
    <w:rsid w:val="0084248D"/>
    <w:rsid w:val="008517F4"/>
    <w:rsid w:val="0085732D"/>
    <w:rsid w:val="00857DF2"/>
    <w:rsid w:val="00860A70"/>
    <w:rsid w:val="00864944"/>
    <w:rsid w:val="00864B28"/>
    <w:rsid w:val="00866143"/>
    <w:rsid w:val="0086726D"/>
    <w:rsid w:val="00870F9B"/>
    <w:rsid w:val="00873629"/>
    <w:rsid w:val="00873C47"/>
    <w:rsid w:val="00874340"/>
    <w:rsid w:val="00883898"/>
    <w:rsid w:val="00883A14"/>
    <w:rsid w:val="00883C28"/>
    <w:rsid w:val="00885D07"/>
    <w:rsid w:val="008906EA"/>
    <w:rsid w:val="008947A8"/>
    <w:rsid w:val="008963A7"/>
    <w:rsid w:val="00896F2C"/>
    <w:rsid w:val="008A43B4"/>
    <w:rsid w:val="008A75DF"/>
    <w:rsid w:val="008A7B19"/>
    <w:rsid w:val="008B1BBA"/>
    <w:rsid w:val="008B62D4"/>
    <w:rsid w:val="008C1393"/>
    <w:rsid w:val="008C1E7B"/>
    <w:rsid w:val="008C2D53"/>
    <w:rsid w:val="008D1F29"/>
    <w:rsid w:val="008D37FA"/>
    <w:rsid w:val="008D4765"/>
    <w:rsid w:val="008D5141"/>
    <w:rsid w:val="008E24AF"/>
    <w:rsid w:val="008E5308"/>
    <w:rsid w:val="008E6D67"/>
    <w:rsid w:val="008F4BCB"/>
    <w:rsid w:val="00902CC7"/>
    <w:rsid w:val="0090465B"/>
    <w:rsid w:val="009124F2"/>
    <w:rsid w:val="00927A4A"/>
    <w:rsid w:val="009310AF"/>
    <w:rsid w:val="0093360C"/>
    <w:rsid w:val="00947EB2"/>
    <w:rsid w:val="00952860"/>
    <w:rsid w:val="0096467F"/>
    <w:rsid w:val="0097288E"/>
    <w:rsid w:val="00975FD8"/>
    <w:rsid w:val="0098151E"/>
    <w:rsid w:val="00981F23"/>
    <w:rsid w:val="009847BD"/>
    <w:rsid w:val="0098718D"/>
    <w:rsid w:val="00992EE3"/>
    <w:rsid w:val="0099604E"/>
    <w:rsid w:val="009A5340"/>
    <w:rsid w:val="009B02EE"/>
    <w:rsid w:val="009B0F79"/>
    <w:rsid w:val="009B5E4E"/>
    <w:rsid w:val="009C2941"/>
    <w:rsid w:val="009C3282"/>
    <w:rsid w:val="009C50E0"/>
    <w:rsid w:val="009E1AA2"/>
    <w:rsid w:val="009E4DBD"/>
    <w:rsid w:val="009E7E73"/>
    <w:rsid w:val="009F00DB"/>
    <w:rsid w:val="009F5590"/>
    <w:rsid w:val="00A01209"/>
    <w:rsid w:val="00A06879"/>
    <w:rsid w:val="00A10F94"/>
    <w:rsid w:val="00A16CC7"/>
    <w:rsid w:val="00A209FD"/>
    <w:rsid w:val="00A24FF7"/>
    <w:rsid w:val="00A25B2E"/>
    <w:rsid w:val="00A27DFA"/>
    <w:rsid w:val="00A345B1"/>
    <w:rsid w:val="00A35C0C"/>
    <w:rsid w:val="00A40308"/>
    <w:rsid w:val="00A41F25"/>
    <w:rsid w:val="00A46E8B"/>
    <w:rsid w:val="00A539DD"/>
    <w:rsid w:val="00A62D74"/>
    <w:rsid w:val="00A636E2"/>
    <w:rsid w:val="00A63891"/>
    <w:rsid w:val="00A65C84"/>
    <w:rsid w:val="00A66283"/>
    <w:rsid w:val="00A750B9"/>
    <w:rsid w:val="00A84510"/>
    <w:rsid w:val="00A85E95"/>
    <w:rsid w:val="00A8787A"/>
    <w:rsid w:val="00A95DD7"/>
    <w:rsid w:val="00A97EB2"/>
    <w:rsid w:val="00AA490F"/>
    <w:rsid w:val="00AA57BB"/>
    <w:rsid w:val="00AA6D7F"/>
    <w:rsid w:val="00AB0E27"/>
    <w:rsid w:val="00AB0FB2"/>
    <w:rsid w:val="00AB1DD2"/>
    <w:rsid w:val="00AB20AD"/>
    <w:rsid w:val="00AB3871"/>
    <w:rsid w:val="00AB5EA1"/>
    <w:rsid w:val="00AC2551"/>
    <w:rsid w:val="00AD1832"/>
    <w:rsid w:val="00AD2100"/>
    <w:rsid w:val="00AE0D46"/>
    <w:rsid w:val="00AE5CFF"/>
    <w:rsid w:val="00AE62D7"/>
    <w:rsid w:val="00AF2E30"/>
    <w:rsid w:val="00AF5495"/>
    <w:rsid w:val="00B008C3"/>
    <w:rsid w:val="00B01342"/>
    <w:rsid w:val="00B01AC2"/>
    <w:rsid w:val="00B03488"/>
    <w:rsid w:val="00B04DF5"/>
    <w:rsid w:val="00B07AF0"/>
    <w:rsid w:val="00B10711"/>
    <w:rsid w:val="00B129C6"/>
    <w:rsid w:val="00B1333A"/>
    <w:rsid w:val="00B14089"/>
    <w:rsid w:val="00B17AF9"/>
    <w:rsid w:val="00B21561"/>
    <w:rsid w:val="00B4244E"/>
    <w:rsid w:val="00B51144"/>
    <w:rsid w:val="00B513CC"/>
    <w:rsid w:val="00B56493"/>
    <w:rsid w:val="00B66561"/>
    <w:rsid w:val="00B667E0"/>
    <w:rsid w:val="00B91DB7"/>
    <w:rsid w:val="00BA36BC"/>
    <w:rsid w:val="00BB0320"/>
    <w:rsid w:val="00BD2BF3"/>
    <w:rsid w:val="00BD50FF"/>
    <w:rsid w:val="00BE1FF7"/>
    <w:rsid w:val="00BE5C1D"/>
    <w:rsid w:val="00BE632B"/>
    <w:rsid w:val="00BE72F3"/>
    <w:rsid w:val="00BE77AE"/>
    <w:rsid w:val="00BF0A42"/>
    <w:rsid w:val="00BF0C15"/>
    <w:rsid w:val="00C113F7"/>
    <w:rsid w:val="00C12A4D"/>
    <w:rsid w:val="00C1508C"/>
    <w:rsid w:val="00C161F7"/>
    <w:rsid w:val="00C20C46"/>
    <w:rsid w:val="00C25C2D"/>
    <w:rsid w:val="00C27C7F"/>
    <w:rsid w:val="00C3630F"/>
    <w:rsid w:val="00C43362"/>
    <w:rsid w:val="00C445DC"/>
    <w:rsid w:val="00C44FC2"/>
    <w:rsid w:val="00C46752"/>
    <w:rsid w:val="00C477E0"/>
    <w:rsid w:val="00C51F3B"/>
    <w:rsid w:val="00C53BBF"/>
    <w:rsid w:val="00C56ADD"/>
    <w:rsid w:val="00C56F6E"/>
    <w:rsid w:val="00C74F6B"/>
    <w:rsid w:val="00C751C5"/>
    <w:rsid w:val="00C76C76"/>
    <w:rsid w:val="00C77C7E"/>
    <w:rsid w:val="00C84F3F"/>
    <w:rsid w:val="00C85C23"/>
    <w:rsid w:val="00C9301C"/>
    <w:rsid w:val="00C942DC"/>
    <w:rsid w:val="00C9490D"/>
    <w:rsid w:val="00C969CC"/>
    <w:rsid w:val="00C97F44"/>
    <w:rsid w:val="00CA0F06"/>
    <w:rsid w:val="00CA0FBF"/>
    <w:rsid w:val="00CA26D9"/>
    <w:rsid w:val="00CA744E"/>
    <w:rsid w:val="00CA785E"/>
    <w:rsid w:val="00CB505C"/>
    <w:rsid w:val="00CC5BEC"/>
    <w:rsid w:val="00CD0211"/>
    <w:rsid w:val="00CD48A5"/>
    <w:rsid w:val="00CE0EC3"/>
    <w:rsid w:val="00CE5D58"/>
    <w:rsid w:val="00CF1E1D"/>
    <w:rsid w:val="00CF7713"/>
    <w:rsid w:val="00D021DB"/>
    <w:rsid w:val="00D1201E"/>
    <w:rsid w:val="00D20A18"/>
    <w:rsid w:val="00D216C7"/>
    <w:rsid w:val="00D233A6"/>
    <w:rsid w:val="00D3115A"/>
    <w:rsid w:val="00D46031"/>
    <w:rsid w:val="00D46F0B"/>
    <w:rsid w:val="00D6190B"/>
    <w:rsid w:val="00D619FF"/>
    <w:rsid w:val="00D62DB6"/>
    <w:rsid w:val="00D640E3"/>
    <w:rsid w:val="00D64489"/>
    <w:rsid w:val="00D65446"/>
    <w:rsid w:val="00D74ACB"/>
    <w:rsid w:val="00D908F1"/>
    <w:rsid w:val="00D950C1"/>
    <w:rsid w:val="00D96E54"/>
    <w:rsid w:val="00DA24DA"/>
    <w:rsid w:val="00DA6E94"/>
    <w:rsid w:val="00DB0D84"/>
    <w:rsid w:val="00DB3F60"/>
    <w:rsid w:val="00DB49BD"/>
    <w:rsid w:val="00DB4D15"/>
    <w:rsid w:val="00DB56A4"/>
    <w:rsid w:val="00DB5823"/>
    <w:rsid w:val="00DB6460"/>
    <w:rsid w:val="00DC1D1C"/>
    <w:rsid w:val="00DD1D68"/>
    <w:rsid w:val="00DD349F"/>
    <w:rsid w:val="00DD64EE"/>
    <w:rsid w:val="00DE3046"/>
    <w:rsid w:val="00DE42B2"/>
    <w:rsid w:val="00DF0332"/>
    <w:rsid w:val="00DF411E"/>
    <w:rsid w:val="00DF4958"/>
    <w:rsid w:val="00DF6787"/>
    <w:rsid w:val="00E03F19"/>
    <w:rsid w:val="00E05D9C"/>
    <w:rsid w:val="00E13ABA"/>
    <w:rsid w:val="00E1751E"/>
    <w:rsid w:val="00E35423"/>
    <w:rsid w:val="00E42696"/>
    <w:rsid w:val="00E44A19"/>
    <w:rsid w:val="00E4605C"/>
    <w:rsid w:val="00E4771F"/>
    <w:rsid w:val="00E57F76"/>
    <w:rsid w:val="00E62416"/>
    <w:rsid w:val="00E63343"/>
    <w:rsid w:val="00E63597"/>
    <w:rsid w:val="00E70F6F"/>
    <w:rsid w:val="00E73288"/>
    <w:rsid w:val="00E73DE8"/>
    <w:rsid w:val="00E7430A"/>
    <w:rsid w:val="00E7690C"/>
    <w:rsid w:val="00E77B68"/>
    <w:rsid w:val="00E84B43"/>
    <w:rsid w:val="00E9229D"/>
    <w:rsid w:val="00E9686F"/>
    <w:rsid w:val="00EA157C"/>
    <w:rsid w:val="00EA2B13"/>
    <w:rsid w:val="00EA3A33"/>
    <w:rsid w:val="00EA5A3F"/>
    <w:rsid w:val="00EB0E84"/>
    <w:rsid w:val="00EB4F2E"/>
    <w:rsid w:val="00EB72AE"/>
    <w:rsid w:val="00EC1B2B"/>
    <w:rsid w:val="00EC35B9"/>
    <w:rsid w:val="00EC4883"/>
    <w:rsid w:val="00EC7C2D"/>
    <w:rsid w:val="00EC7FFD"/>
    <w:rsid w:val="00ED21DC"/>
    <w:rsid w:val="00ED7911"/>
    <w:rsid w:val="00EE0129"/>
    <w:rsid w:val="00EE1032"/>
    <w:rsid w:val="00EE2776"/>
    <w:rsid w:val="00EE4133"/>
    <w:rsid w:val="00EE6431"/>
    <w:rsid w:val="00EE7C7E"/>
    <w:rsid w:val="00EF4F54"/>
    <w:rsid w:val="00EF7960"/>
    <w:rsid w:val="00F10193"/>
    <w:rsid w:val="00F12AF9"/>
    <w:rsid w:val="00F139F0"/>
    <w:rsid w:val="00F145DD"/>
    <w:rsid w:val="00F2066C"/>
    <w:rsid w:val="00F2251E"/>
    <w:rsid w:val="00F237BB"/>
    <w:rsid w:val="00F23897"/>
    <w:rsid w:val="00F25264"/>
    <w:rsid w:val="00F3571E"/>
    <w:rsid w:val="00F438B3"/>
    <w:rsid w:val="00F5052E"/>
    <w:rsid w:val="00F54D76"/>
    <w:rsid w:val="00F64490"/>
    <w:rsid w:val="00F64B0C"/>
    <w:rsid w:val="00F67078"/>
    <w:rsid w:val="00F70653"/>
    <w:rsid w:val="00F7150F"/>
    <w:rsid w:val="00F85343"/>
    <w:rsid w:val="00F943D9"/>
    <w:rsid w:val="00F977F6"/>
    <w:rsid w:val="00FA0845"/>
    <w:rsid w:val="00FB46F0"/>
    <w:rsid w:val="00FB47CC"/>
    <w:rsid w:val="00FB531B"/>
    <w:rsid w:val="00FC0EA7"/>
    <w:rsid w:val="00FC75A5"/>
    <w:rsid w:val="00FD1299"/>
    <w:rsid w:val="00FE1094"/>
    <w:rsid w:val="00FE17F2"/>
    <w:rsid w:val="00FE3420"/>
    <w:rsid w:val="00FF0F11"/>
    <w:rsid w:val="00FF12C6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hadow/>
      <w:sz w:val="21"/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hadow/>
      <w:sz w:val="2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B4BF8"/>
    <w:pPr>
      <w:tabs>
        <w:tab w:val="right" w:leader="dot" w:pos="9350"/>
      </w:tabs>
      <w:spacing w:after="100" w:line="259" w:lineRule="auto"/>
    </w:pPr>
    <w:rPr>
      <w:rFonts w:ascii="Arial" w:eastAsiaTheme="minorEastAsia" w:hAnsi="Arial" w:cs="Arial"/>
      <w:noProof/>
      <w:sz w:val="22"/>
      <w:szCs w:val="22"/>
      <w:lang w:val="sr-Cyrl-CS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A77A9"/>
    <w:pPr>
      <w:keepNext/>
      <w:ind w:left="360"/>
      <w:jc w:val="center"/>
      <w:outlineLvl w:val="0"/>
    </w:pPr>
    <w:rPr>
      <w:b/>
      <w:sz w:val="20"/>
      <w:szCs w:val="20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5A77A9"/>
    <w:pPr>
      <w:keepNext/>
      <w:jc w:val="center"/>
      <w:outlineLvl w:val="1"/>
    </w:pPr>
    <w:rPr>
      <w:b/>
      <w:sz w:val="20"/>
      <w:szCs w:val="20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5A77A9"/>
    <w:pPr>
      <w:keepNext/>
      <w:spacing w:line="360" w:lineRule="auto"/>
      <w:jc w:val="both"/>
      <w:outlineLvl w:val="2"/>
    </w:pPr>
    <w:rPr>
      <w:rFonts w:ascii="CTimesRoman" w:hAnsi="CTimesRoman"/>
      <w:b/>
      <w:shadow/>
      <w:sz w:val="21"/>
    </w:rPr>
  </w:style>
  <w:style w:type="paragraph" w:styleId="Heading4">
    <w:name w:val="heading 4"/>
    <w:basedOn w:val="Normal"/>
    <w:next w:val="Normal"/>
    <w:link w:val="Heading4Char"/>
    <w:qFormat/>
    <w:rsid w:val="005A77A9"/>
    <w:pPr>
      <w:keepNext/>
      <w:ind w:left="510" w:firstLine="510"/>
      <w:outlineLvl w:val="3"/>
    </w:pPr>
    <w:rPr>
      <w:rFonts w:ascii="Arial" w:hAnsi="Arial" w:cs="Arial"/>
      <w:b/>
      <w:bCs/>
      <w:sz w:val="22"/>
      <w:szCs w:val="20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5A77A9"/>
    <w:pPr>
      <w:keepNext/>
      <w:jc w:val="center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5A77A9"/>
    <w:pPr>
      <w:keepNext/>
      <w:jc w:val="both"/>
      <w:outlineLvl w:val="5"/>
    </w:pPr>
    <w:rPr>
      <w:b/>
      <w:i/>
      <w:iCs/>
      <w:sz w:val="28"/>
      <w:szCs w:val="28"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5A77A9"/>
    <w:pPr>
      <w:keepNext/>
      <w:ind w:firstLine="5"/>
      <w:jc w:val="center"/>
      <w:outlineLvl w:val="6"/>
    </w:pPr>
    <w:rPr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5A77A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A77A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A77A9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5A77A9"/>
    <w:rPr>
      <w:rFonts w:ascii="Calibri" w:eastAsia="MS Mincho" w:hAnsi="Calibri" w:cs="Arial"/>
      <w:lang w:val="en-US" w:eastAsia="ja-JP"/>
    </w:rPr>
  </w:style>
  <w:style w:type="table" w:styleId="ColorfulGrid-Accent1">
    <w:name w:val="Colorful Grid Accent 1"/>
    <w:basedOn w:val="TableNormal"/>
    <w:uiPriority w:val="73"/>
    <w:rsid w:val="005A77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2Char">
    <w:name w:val="Heading 2 Char"/>
    <w:basedOn w:val="DefaultParagraphFont"/>
    <w:link w:val="Heading2"/>
    <w:rsid w:val="005A77A9"/>
    <w:rPr>
      <w:rFonts w:ascii="Times New Roman" w:eastAsia="Times New Roman" w:hAnsi="Times New Roman" w:cs="Times New Roman"/>
      <w:b/>
      <w:sz w:val="20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5A77A9"/>
    <w:rPr>
      <w:rFonts w:ascii="CTimesRoman" w:eastAsia="Times New Roman" w:hAnsi="CTimesRoman" w:cs="Times New Roman"/>
      <w:b/>
      <w:shadow/>
      <w:sz w:val="2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5A77A9"/>
    <w:rPr>
      <w:rFonts w:ascii="Arial" w:eastAsia="Times New Roman" w:hAnsi="Arial" w:cs="Arial"/>
      <w:b/>
      <w:bCs/>
      <w:szCs w:val="20"/>
      <w:lang w:val="sr-Cyrl-CS"/>
    </w:rPr>
  </w:style>
  <w:style w:type="character" w:customStyle="1" w:styleId="Heading5Char">
    <w:name w:val="Heading 5 Char"/>
    <w:basedOn w:val="DefaultParagraphFont"/>
    <w:link w:val="Heading5"/>
    <w:rsid w:val="005A77A9"/>
    <w:rPr>
      <w:rFonts w:ascii="Times New Roman" w:eastAsia="Times New Roman" w:hAnsi="Times New Roman" w:cs="Times New Roman"/>
      <w:b/>
      <w:bCs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5A77A9"/>
  </w:style>
  <w:style w:type="paragraph" w:styleId="Header">
    <w:name w:val="header"/>
    <w:basedOn w:val="Normal"/>
    <w:link w:val="Head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5A77A9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5A77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77A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semiHidden/>
    <w:rsid w:val="005A77A9"/>
  </w:style>
  <w:style w:type="paragraph" w:styleId="BodyText">
    <w:name w:val="Body Text"/>
    <w:basedOn w:val="Normal"/>
    <w:link w:val="BodyTextChar"/>
    <w:semiHidden/>
    <w:rsid w:val="005A77A9"/>
    <w:pPr>
      <w:jc w:val="both"/>
    </w:pPr>
    <w:rPr>
      <w:bCs/>
      <w:sz w:val="22"/>
      <w:szCs w:val="22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5A77A9"/>
    <w:rPr>
      <w:rFonts w:ascii="Times New Roman" w:eastAsia="Times New Roman" w:hAnsi="Times New Roman" w:cs="Times New Roman"/>
      <w:bCs/>
      <w:lang w:val="sr-Cyrl-CS"/>
    </w:rPr>
  </w:style>
  <w:style w:type="paragraph" w:styleId="BodyText2">
    <w:name w:val="Body Text 2"/>
    <w:basedOn w:val="Normal"/>
    <w:link w:val="BodyText2Char"/>
    <w:semiHidden/>
    <w:rsid w:val="005A77A9"/>
    <w:pPr>
      <w:jc w:val="both"/>
    </w:pPr>
    <w:rPr>
      <w:rFonts w:ascii="CTimesRoman" w:hAnsi="CTimesRoman"/>
      <w:b/>
    </w:rPr>
  </w:style>
  <w:style w:type="character" w:customStyle="1" w:styleId="BodyText2Char">
    <w:name w:val="Body Text 2 Char"/>
    <w:basedOn w:val="DefaultParagraphFont"/>
    <w:link w:val="BodyText2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5A77A9"/>
    <w:pPr>
      <w:ind w:firstLine="510"/>
      <w:jc w:val="both"/>
    </w:pPr>
    <w:rPr>
      <w:rFonts w:ascii="CTimesRoman" w:hAnsi="CTimesRoman"/>
      <w:b/>
    </w:rPr>
  </w:style>
  <w:style w:type="character" w:customStyle="1" w:styleId="BodyTextIndentChar">
    <w:name w:val="Body Text Indent Char"/>
    <w:basedOn w:val="DefaultParagraphFont"/>
    <w:link w:val="BodyTextIndent"/>
    <w:semiHidden/>
    <w:rsid w:val="005A77A9"/>
    <w:rPr>
      <w:rFonts w:ascii="CTimesRoman" w:eastAsia="Times New Roman" w:hAnsi="CTimesRoman" w:cs="Times New Roman"/>
      <w:b/>
      <w:sz w:val="24"/>
      <w:szCs w:val="24"/>
      <w:lang w:val="en-US"/>
    </w:rPr>
  </w:style>
  <w:style w:type="paragraph" w:styleId="BodyText3">
    <w:name w:val="Body Text 3"/>
    <w:basedOn w:val="Normal"/>
    <w:link w:val="BodyText3Char"/>
    <w:semiHidden/>
    <w:rsid w:val="005A77A9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33">
    <w:name w:val="xl33"/>
    <w:basedOn w:val="Normal"/>
    <w:rsid w:val="005A77A9"/>
    <w:pPr>
      <w:spacing w:before="100" w:beforeAutospacing="1" w:after="100" w:afterAutospacing="1"/>
    </w:pPr>
    <w:rPr>
      <w:rFonts w:ascii="YU C Times" w:hAnsi="YU C Times"/>
      <w:b/>
      <w:bCs/>
    </w:rPr>
  </w:style>
  <w:style w:type="paragraph" w:styleId="EndnoteText">
    <w:name w:val="endnote text"/>
    <w:basedOn w:val="Normal"/>
    <w:link w:val="EndnoteTextChar"/>
    <w:semiHidden/>
    <w:rsid w:val="005A77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A77A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A9"/>
    <w:rPr>
      <w:rFonts w:ascii="Tahoma" w:eastAsia="Times New Roman" w:hAnsi="Tahoma" w:cs="Tahoma"/>
      <w:sz w:val="16"/>
      <w:szCs w:val="16"/>
      <w:lang w:val="en-US"/>
    </w:rPr>
  </w:style>
  <w:style w:type="table" w:styleId="LightGrid-Accent1">
    <w:name w:val="Light Grid Accent 1"/>
    <w:basedOn w:val="TableNormal"/>
    <w:uiPriority w:val="62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3CBD5A742C28424DA5172AD252E32316">
    <w:name w:val="3CBD5A742C28424DA5172AD252E32316"/>
    <w:rsid w:val="005A77A9"/>
    <w:rPr>
      <w:rFonts w:ascii="Calibri" w:eastAsia="MS Mincho" w:hAnsi="Calibri" w:cs="Arial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7A9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7A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5A77A9"/>
    <w:rPr>
      <w:rFonts w:ascii="Times New Roman" w:eastAsia="Times New Roman" w:hAnsi="Times New Roman" w:cs="Times New Roman"/>
      <w:b/>
      <w:i/>
      <w:iCs/>
      <w:sz w:val="28"/>
      <w:szCs w:val="28"/>
      <w:lang w:val="sr-Cyrl-CS"/>
    </w:rPr>
  </w:style>
  <w:style w:type="character" w:customStyle="1" w:styleId="Heading7Char">
    <w:name w:val="Heading 7 Char"/>
    <w:basedOn w:val="DefaultParagraphFont"/>
    <w:link w:val="Heading7"/>
    <w:rsid w:val="005A77A9"/>
    <w:rPr>
      <w:rFonts w:ascii="Times New Roman" w:eastAsia="Times New Roman" w:hAnsi="Times New Roman" w:cs="Times New Roman"/>
      <w:b/>
      <w:bCs/>
      <w:i/>
      <w:iCs/>
      <w:sz w:val="20"/>
      <w:szCs w:val="20"/>
      <w:lang w:val="en-US"/>
    </w:rPr>
  </w:style>
  <w:style w:type="numbering" w:customStyle="1" w:styleId="NoList2">
    <w:name w:val="No List2"/>
    <w:next w:val="NoList"/>
    <w:uiPriority w:val="99"/>
    <w:semiHidden/>
    <w:unhideWhenUsed/>
    <w:rsid w:val="005A77A9"/>
  </w:style>
  <w:style w:type="paragraph" w:styleId="BodyTextIndent2">
    <w:name w:val="Body Text Indent 2"/>
    <w:basedOn w:val="Normal"/>
    <w:link w:val="BodyTextIndent2Char"/>
    <w:semiHidden/>
    <w:rsid w:val="005A77A9"/>
    <w:pPr>
      <w:ind w:left="360"/>
      <w:jc w:val="both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A77A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xl24">
    <w:name w:val="xl24"/>
    <w:basedOn w:val="Normal"/>
    <w:rsid w:val="005A77A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25">
    <w:name w:val="xl25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26">
    <w:name w:val="xl26"/>
    <w:basedOn w:val="Normal"/>
    <w:rsid w:val="005A77A9"/>
    <w:pPr>
      <w:spacing w:before="100" w:beforeAutospacing="1" w:after="100" w:afterAutospacing="1"/>
    </w:pPr>
  </w:style>
  <w:style w:type="paragraph" w:customStyle="1" w:styleId="xl27">
    <w:name w:val="xl27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">
    <w:name w:val="xl28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9">
    <w:name w:val="xl2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0">
    <w:name w:val="xl30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34">
    <w:name w:val="xl34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5A77A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1">
    <w:name w:val="xl41"/>
    <w:basedOn w:val="Normal"/>
    <w:rsid w:val="005A77A9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5A77A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4">
    <w:name w:val="xl44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5A77A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5A77A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Normal"/>
    <w:rsid w:val="005A77A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52">
    <w:name w:val="xl52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al"/>
    <w:rsid w:val="005A77A9"/>
    <w:pPr>
      <w:spacing w:before="100" w:beforeAutospacing="1" w:after="100" w:afterAutospacing="1"/>
    </w:pPr>
    <w:rPr>
      <w:b/>
      <w:bCs/>
    </w:rPr>
  </w:style>
  <w:style w:type="paragraph" w:customStyle="1" w:styleId="xl54">
    <w:name w:val="xl54"/>
    <w:basedOn w:val="Normal"/>
    <w:rsid w:val="005A77A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55">
    <w:name w:val="xl55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</w:rPr>
  </w:style>
  <w:style w:type="paragraph" w:customStyle="1" w:styleId="xl56">
    <w:name w:val="xl5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57">
    <w:name w:val="xl57"/>
    <w:basedOn w:val="Normal"/>
    <w:rsid w:val="005A77A9"/>
    <w:pPr>
      <w:pBdr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8">
    <w:name w:val="xl58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0">
    <w:name w:val="xl6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61">
    <w:name w:val="xl61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62">
    <w:name w:val="xl62"/>
    <w:basedOn w:val="Normal"/>
    <w:rsid w:val="005A77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3">
    <w:name w:val="xl63"/>
    <w:basedOn w:val="Normal"/>
    <w:rsid w:val="005A77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Normal"/>
    <w:rsid w:val="005A77A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7">
    <w:name w:val="xl6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68">
    <w:name w:val="xl68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Normal"/>
    <w:rsid w:val="005A77A9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2">
    <w:name w:val="xl72"/>
    <w:basedOn w:val="Normal"/>
    <w:rsid w:val="005A77A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4">
    <w:name w:val="xl74"/>
    <w:basedOn w:val="Normal"/>
    <w:rsid w:val="005A77A9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5">
    <w:name w:val="xl75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</w:style>
  <w:style w:type="paragraph" w:customStyle="1" w:styleId="xl76">
    <w:name w:val="xl76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77">
    <w:name w:val="xl77"/>
    <w:basedOn w:val="Normal"/>
    <w:rsid w:val="005A77A9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8">
    <w:name w:val="xl78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al"/>
    <w:rsid w:val="005A77A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Normal"/>
    <w:rsid w:val="005A77A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83">
    <w:name w:val="xl83"/>
    <w:basedOn w:val="Normal"/>
    <w:rsid w:val="005A77A9"/>
    <w:pPr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7">
    <w:name w:val="xl87"/>
    <w:basedOn w:val="Normal"/>
    <w:rsid w:val="005A77A9"/>
    <w:pPr>
      <w:pBdr>
        <w:top w:val="single" w:sz="4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8">
    <w:name w:val="xl88"/>
    <w:basedOn w:val="Normal"/>
    <w:rsid w:val="005A77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Normal"/>
    <w:rsid w:val="005A77A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al"/>
    <w:rsid w:val="005A77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rsid w:val="005A77A9"/>
    <w:pPr>
      <w:pBdr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4">
    <w:name w:val="xl94"/>
    <w:basedOn w:val="Normal"/>
    <w:rsid w:val="005A77A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95">
    <w:name w:val="xl95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6">
    <w:name w:val="xl96"/>
    <w:basedOn w:val="Normal"/>
    <w:rsid w:val="005A77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5A77A9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98">
    <w:name w:val="xl98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9">
    <w:name w:val="xl99"/>
    <w:basedOn w:val="Normal"/>
    <w:rsid w:val="005A77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0">
    <w:name w:val="xl100"/>
    <w:basedOn w:val="Normal"/>
    <w:rsid w:val="005A77A9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102">
    <w:name w:val="xl102"/>
    <w:basedOn w:val="Normal"/>
    <w:rsid w:val="005A77A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5A77A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6">
    <w:name w:val="xl106"/>
    <w:basedOn w:val="Normal"/>
    <w:rsid w:val="005A77A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Normal"/>
    <w:rsid w:val="005A77A9"/>
    <w:pPr>
      <w:pBdr>
        <w:left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5A77A9"/>
    <w:pPr>
      <w:spacing w:before="100" w:beforeAutospacing="1" w:after="100" w:afterAutospacing="1"/>
      <w:jc w:val="right"/>
    </w:pPr>
    <w:rPr>
      <w:i/>
      <w:iCs/>
    </w:rPr>
  </w:style>
  <w:style w:type="paragraph" w:customStyle="1" w:styleId="xl109">
    <w:name w:val="xl109"/>
    <w:basedOn w:val="Normal"/>
    <w:rsid w:val="005A77A9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0">
    <w:name w:val="xl110"/>
    <w:basedOn w:val="Normal"/>
    <w:rsid w:val="005A77A9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Normal"/>
    <w:rsid w:val="005A77A9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2">
    <w:name w:val="xl112"/>
    <w:basedOn w:val="Normal"/>
    <w:rsid w:val="005A77A9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3">
    <w:name w:val="xl113"/>
    <w:basedOn w:val="Normal"/>
    <w:rsid w:val="005A77A9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4">
    <w:name w:val="xl114"/>
    <w:basedOn w:val="Normal"/>
    <w:rsid w:val="005A77A9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5">
    <w:name w:val="xl115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Normal"/>
    <w:rsid w:val="005A77A9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5A77A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7">
    <w:name w:val="xl117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8">
    <w:name w:val="xl118"/>
    <w:basedOn w:val="Normal"/>
    <w:rsid w:val="005A77A9"/>
    <w:pPr>
      <w:pBdr>
        <w:left w:val="single" w:sz="8" w:space="0" w:color="auto"/>
        <w:bottom w:val="double" w:sz="6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119">
    <w:name w:val="xl119"/>
    <w:basedOn w:val="Normal"/>
    <w:rsid w:val="005A77A9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0">
    <w:name w:val="xl120"/>
    <w:basedOn w:val="Normal"/>
    <w:rsid w:val="005A77A9"/>
    <w:pPr>
      <w:pBdr>
        <w:left w:val="single" w:sz="4" w:space="0" w:color="auto"/>
        <w:bottom w:val="double" w:sz="6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121">
    <w:name w:val="xl121"/>
    <w:basedOn w:val="Normal"/>
    <w:rsid w:val="005A77A9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Normal"/>
    <w:rsid w:val="005A77A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Normal"/>
    <w:rsid w:val="005A77A9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table" w:styleId="LightList-Accent5">
    <w:name w:val="Light List Accent 5"/>
    <w:basedOn w:val="TableNormal"/>
    <w:uiPriority w:val="61"/>
    <w:rsid w:val="005A7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B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ListParagraph">
    <w:name w:val="List Paragraph"/>
    <w:basedOn w:val="Normal"/>
    <w:uiPriority w:val="34"/>
    <w:qFormat/>
    <w:rsid w:val="00CF1E1D"/>
    <w:pPr>
      <w:ind w:left="720"/>
    </w:pPr>
  </w:style>
  <w:style w:type="table" w:customStyle="1" w:styleId="TableGridLight1">
    <w:name w:val="Table Grid Light1"/>
    <w:basedOn w:val="TableNormal"/>
    <w:uiPriority w:val="40"/>
    <w:rsid w:val="00D619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CA744E"/>
    <w:pPr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CA744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4B4BF8"/>
    <w:pPr>
      <w:tabs>
        <w:tab w:val="right" w:leader="dot" w:pos="9350"/>
      </w:tabs>
      <w:spacing w:after="100" w:line="259" w:lineRule="auto"/>
    </w:pPr>
    <w:rPr>
      <w:rFonts w:ascii="Arial" w:eastAsiaTheme="minorEastAsia" w:hAnsi="Arial" w:cs="Arial"/>
      <w:noProof/>
      <w:sz w:val="22"/>
      <w:szCs w:val="22"/>
      <w:lang w:val="sr-Cyrl-CS"/>
    </w:rPr>
  </w:style>
  <w:style w:type="paragraph" w:styleId="TOC3">
    <w:name w:val="toc 3"/>
    <w:basedOn w:val="Normal"/>
    <w:next w:val="Normal"/>
    <w:autoRedefine/>
    <w:uiPriority w:val="39"/>
    <w:unhideWhenUsed/>
    <w:rsid w:val="00CA744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A744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CA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chart" Target="charts/chart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hart" Target="charts/chart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4"/>
      <c:depthPercent val="100"/>
      <c:rAngAx val="0"/>
      <c:perspective val="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17690203080244"/>
          <c:y val="0.19191168750964954"/>
          <c:w val="0.65749067663442551"/>
          <c:h val="0.6279413308630539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p3d contourW="508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1.5323887939782404E-2"/>
                  <c:y val="-2.053697699552261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Prihod od električne energije, 90%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8622170550828798"/>
                  <c:y val="-3.6453913849004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8262009195159321"/>
                  <c:y val="6.8083989501312336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721344395708926E-2"/>
                  <c:y val="6.6492203180484794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.11107893392520561"/>
                  <c:y val="0.19048942411610315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9.7390477197061773E-2"/>
                  <c:y val="0.177551953064690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7352780566858671E-2"/>
                  <c:y val="-8.1247491122433228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Sheet1!$A$2:$A$8</c:f>
              <c:strCache>
                <c:ptCount val="7"/>
                <c:pt idx="0">
                  <c:v>Prihod od električne energije</c:v>
                </c:pt>
                <c:pt idx="1">
                  <c:v>Prihod od prodaje usluga</c:v>
                </c:pt>
                <c:pt idx="2">
                  <c:v>Prihod od vlastitih učinaka na realizaciji investicija</c:v>
                </c:pt>
                <c:pt idx="3">
                  <c:v>Ostali poslovni prihodi</c:v>
                </c:pt>
                <c:pt idx="4">
                  <c:v>Finansijski prihodi</c:v>
                </c:pt>
                <c:pt idx="5">
                  <c:v>Ostali prihodi</c:v>
                </c:pt>
                <c:pt idx="6">
                  <c:v>Prihod od usklađivanja vrijednosti imovine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90665708</c:v>
                </c:pt>
                <c:pt idx="1">
                  <c:v>1718800</c:v>
                </c:pt>
                <c:pt idx="2">
                  <c:v>420000</c:v>
                </c:pt>
                <c:pt idx="3">
                  <c:v>1600000</c:v>
                </c:pt>
                <c:pt idx="4">
                  <c:v>2715884</c:v>
                </c:pt>
                <c:pt idx="5">
                  <c:v>3091351</c:v>
                </c:pt>
                <c:pt idx="6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50"/>
      <c:depthPercent val="8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889012667628768E-2"/>
          <c:y val="0.14422764227642276"/>
          <c:w val="0.8620086774867427"/>
          <c:h val="0.7311111111111112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6350" h="95250"/>
              <a:contourClr>
                <a:srgbClr val="000000"/>
              </a:contourClr>
            </a:sp3d>
          </c:spPr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gradFill>
                <a:gsLst>
                  <a:gs pos="100000">
                    <a:schemeClr val="accent6">
                      <a:lumMod val="60000"/>
                      <a:lumOff val="40000"/>
                    </a:schemeClr>
                  </a:gs>
                  <a:gs pos="0">
                    <a:schemeClr val="accent6"/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gradFill>
                <a:gsLst>
                  <a:gs pos="100000">
                    <a:schemeClr val="accent1">
                      <a:lumMod val="60000"/>
                      <a:lumMod val="60000"/>
                      <a:lumOff val="40000"/>
                    </a:schemeClr>
                  </a:gs>
                  <a:gs pos="0">
                    <a:schemeClr val="accent1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gradFill>
                <a:gsLst>
                  <a:gs pos="100000">
                    <a:schemeClr val="accent2">
                      <a:lumMod val="60000"/>
                      <a:lumMod val="60000"/>
                      <a:lumOff val="40000"/>
                    </a:schemeClr>
                  </a:gs>
                  <a:gs pos="0">
                    <a:schemeClr val="accent2">
                      <a:lumMod val="60000"/>
                    </a:schemeClr>
                  </a:gs>
                </a:gsLst>
                <a:lin ang="5400000" scaled="0"/>
              </a:gradFill>
              <a:ln w="50800">
                <a:solidFill>
                  <a:schemeClr val="lt1"/>
                </a:solidFill>
              </a:ln>
              <a:effectLst/>
              <a:scene3d>
                <a:camera prst="orthographicFront"/>
                <a:lightRig rig="threePt" dir="t"/>
              </a:scene3d>
              <a:sp3d contourW="50800">
                <a:bevelT w="6350" h="95250"/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0.49585419989703844"/>
                  <c:y val="6.228782626661463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8000438851895924E-2"/>
                  <c:y val="-0.142701346005218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886387995712754"/>
                      <c:h val="0.2097377623715402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17721413440683259"/>
                  <c:y val="1.943603988276961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80203559764035"/>
                      <c:h val="0.10380600384135656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2.290587470778371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0901925040720392E-2"/>
                  <c:y val="5.500761384418784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0010802508207375E-2"/>
                  <c:y val="3.126588768240704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78727498291009"/>
                      <c:h val="0.20392461146438329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-5.0279430505270443E-2"/>
                  <c:y val="-9.561549704246159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1567545214404472E-2"/>
                  <c:y val="-0.2653471377302327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Sheet1!$A$2:$A$9</c:f>
              <c:strCache>
                <c:ptCount val="8"/>
                <c:pt idx="0">
                  <c:v>Трошкови набавке електричне енергије</c:v>
                </c:pt>
                <c:pt idx="1">
                  <c:v>Бруто зараде, накнаде и остала лична примања </c:v>
                </c:pt>
                <c:pt idx="2">
                  <c:v>Трошкови материјала, горива и енергије </c:v>
                </c:pt>
                <c:pt idx="3">
                  <c:v>Трошкови производних услуга </c:v>
                </c:pt>
                <c:pt idx="4">
                  <c:v>Амортизација и резервисања </c:v>
                </c:pt>
                <c:pt idx="5">
                  <c:v>Нематеријални трошкови са порезима и доприносима</c:v>
                </c:pt>
                <c:pt idx="6">
                  <c:v>Финансијски расходи</c:v>
                </c:pt>
                <c:pt idx="7">
                  <c:v>Остали расходи 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56089743</c:v>
                </c:pt>
                <c:pt idx="1">
                  <c:v>23420004</c:v>
                </c:pt>
                <c:pt idx="2">
                  <c:v>2110000</c:v>
                </c:pt>
                <c:pt idx="3">
                  <c:v>1600000</c:v>
                </c:pt>
                <c:pt idx="4">
                  <c:v>12496019</c:v>
                </c:pt>
                <c:pt idx="5">
                  <c:v>2184818</c:v>
                </c:pt>
                <c:pt idx="6">
                  <c:v>900000</c:v>
                </c:pt>
                <c:pt idx="7">
                  <c:v>1141320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20"/>
      <c:depthPercent val="100"/>
      <c:rAngAx val="0"/>
      <c:perspective val="6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482815282607438"/>
          <c:y val="0.30627198820777773"/>
          <c:w val="0.60185991979428966"/>
          <c:h val="0.5833841956196153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Lbls>
            <c:dLbl>
              <c:idx val="0"/>
              <c:layout>
                <c:manualLayout>
                  <c:x val="4.1820350968525467E-2"/>
                  <c:y val="-3.7310952176823307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.10932630528621939"/>
                  <c:y val="-3.053974986651037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350417736244504"/>
                      <c:h val="0.147507853825964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3.6274787965553897E-2"/>
                  <c:y val="9.472854575126518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233211233211233"/>
                  <c:y val="-8.20512820512821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18793804620572"/>
                      <c:h val="0.19257435897435898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Ulaganja u istraživanje i razvoj</c:v>
                </c:pt>
                <c:pt idx="1">
                  <c:v>Koncesije, patenti, licence</c:v>
                </c:pt>
                <c:pt idx="2">
                  <c:v>Druga nematerijalna ulaganja</c:v>
                </c:pt>
                <c:pt idx="3">
                  <c:v>Avansi i nematerijalna ulaganja u pripremi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55000</c:v>
                </c:pt>
                <c:pt idx="1">
                  <c:v>500000</c:v>
                </c:pt>
                <c:pt idx="2">
                  <c:v>795000</c:v>
                </c:pt>
                <c:pt idx="3">
                  <c:v>2200000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2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764647258699866"/>
          <c:y val="0.19644533794977756"/>
          <c:w val="0.71932780906478344"/>
          <c:h val="0.6842722885445771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layout>
                <c:manualLayout>
                  <c:x val="3.6419327792359291E-2"/>
                  <c:y val="0.1697124029709052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293981481481482"/>
                      <c:h val="0.14751782324787258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34701297754447369"/>
                  <c:y val="-7.346884830885501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39629137503645379"/>
                  <c:y val="6.0137562591910061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6875"/>
                      <c:h val="0.13826989619377161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2.7724190726159229E-2"/>
                  <c:y val="-0.11398708140205878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Sheet1!$A$2:$A$5</c:f>
              <c:strCache>
                <c:ptCount val="4"/>
                <c:pt idx="0">
                  <c:v>Zemljište</c:v>
                </c:pt>
                <c:pt idx="1">
                  <c:v>Građevinski objekti</c:v>
                </c:pt>
                <c:pt idx="2">
                  <c:v>Oprema</c:v>
                </c:pt>
                <c:pt idx="3">
                  <c:v>Avansi i stalna sredstva u pripremi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2040000</c:v>
                </c:pt>
                <c:pt idx="1">
                  <c:v>75000000</c:v>
                </c:pt>
                <c:pt idx="2">
                  <c:v>156000000</c:v>
                </c:pt>
                <c:pt idx="3">
                  <c:v>3900000</c:v>
                </c:pt>
              </c:numCache>
            </c:numRef>
          </c:val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14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68518518518519"/>
          <c:y val="0.26666633858267719"/>
          <c:w val="0.77384334228011487"/>
          <c:h val="0.6627857611548555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dPt>
            <c:idx val="0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1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2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</c:dPt>
          <c:dLbls>
            <c:dLbl>
              <c:idx val="0"/>
              <c:layout>
                <c:manualLayout>
                  <c:x val="-0.40067639364142493"/>
                  <c:y val="-3.594225721784776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49296442111401"/>
                      <c:h val="0.13371919419163514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0.29776364384177334"/>
                  <c:y val="-4.20921916010498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74296442111401"/>
                      <c:h val="0.12272814601344859"/>
                    </c:manualLayout>
                  </c15:layout>
                </c:ext>
              </c:extLst>
            </c:dLbl>
            <c:spPr>
              <a:solidFill>
                <a:sysClr val="window" lastClr="FFFFFF">
                  <a:alpha val="75000"/>
                </a:sysClr>
              </a:solidFill>
              <a:ln w="9525"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noFill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Sheet1!$A$2:$A$5</c:f>
              <c:strCache>
                <c:ptCount val="2"/>
                <c:pt idx="0">
                  <c:v>Zalihe</c:v>
                </c:pt>
                <c:pt idx="1">
                  <c:v>Kratkoročna potraživanja i plasmani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5480000</c:v>
                </c:pt>
                <c:pt idx="1">
                  <c:v>24667000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sr-Cyrl-CS"/>
              <a:t>Број радника по</a:t>
            </a:r>
            <a:r>
              <a:rPr lang="sr-Cyrl-CS" baseline="0"/>
              <a:t> ребалансу</a:t>
            </a:r>
            <a:endParaRPr lang="sr-Cyrl-CS"/>
          </a:p>
        </c:rich>
      </c:tx>
      <c:overlay val="0"/>
      <c:spPr>
        <a:noFill/>
        <a:ln>
          <a:noFill/>
        </a:ln>
        <a:effectLst/>
      </c:sp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3333943722151"/>
          <c:y val="0.25256275842232051"/>
          <c:w val="0.73166609987705022"/>
          <c:h val="0.5668764900089494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Планирани број радника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2"/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1666666666666671E-2"/>
                  <c:y val="-1.4550096466308564E-16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593868474773986"/>
                      <c:h val="0.10005499312585926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4907407407407329E-2"/>
                  <c:y val="-1.19047619047619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685422134733158"/>
                      <c:h val="0.10005499312585926"/>
                    </c:manualLayout>
                  </c15:layout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Sheet1!$A$2:$A$8</c:f>
              <c:strCache>
                <c:ptCount val="7"/>
                <c:pt idx="0">
                  <c:v>ВСС</c:v>
                </c:pt>
                <c:pt idx="1">
                  <c:v>ВШ</c:v>
                </c:pt>
                <c:pt idx="2">
                  <c:v>ССС</c:v>
                </c:pt>
                <c:pt idx="3">
                  <c:v>ВК</c:v>
                </c:pt>
                <c:pt idx="4">
                  <c:v>КВ</c:v>
                </c:pt>
                <c:pt idx="5">
                  <c:v>ПК</c:v>
                </c:pt>
                <c:pt idx="6">
                  <c:v>НК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232</c:v>
                </c:pt>
                <c:pt idx="1">
                  <c:v>49</c:v>
                </c:pt>
                <c:pt idx="2">
                  <c:v>104</c:v>
                </c:pt>
                <c:pt idx="3">
                  <c:v>251</c:v>
                </c:pt>
                <c:pt idx="4">
                  <c:v>235</c:v>
                </c:pt>
                <c:pt idx="5">
                  <c:v>24</c:v>
                </c:pt>
                <c:pt idx="6">
                  <c:v>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055555555555552"/>
          <c:y val="0.20321178602674667"/>
          <c:w val="0.73148148148148162"/>
          <c:h val="0.621711348581427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План расподјеле добити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</c:ext>
            </c:extLst>
          </c:dLbls>
          <c:cat>
            <c:strRef>
              <c:f>Sheet1!$A$2:$A$4</c:f>
              <c:strCache>
                <c:ptCount val="3"/>
                <c:pt idx="0">
                  <c:v>Законске резерве</c:v>
                </c:pt>
                <c:pt idx="1">
                  <c:v>Донације</c:v>
                </c:pt>
                <c:pt idx="2">
                  <c:v>Нераспоређена добит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50</c:v>
                </c:pt>
                <c:pt idx="1">
                  <c:v>10</c:v>
                </c:pt>
                <c:pt idx="2">
                  <c:v>40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E2FAA-5980-46E4-A9A6-2E83B0A0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34</Pages>
  <Words>8182</Words>
  <Characters>46641</Characters>
  <Application>Microsoft Office Word</Application>
  <DocSecurity>0</DocSecurity>
  <Lines>388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Josipovic</dc:creator>
  <cp:keywords/>
  <dc:description/>
  <cp:lastModifiedBy>Ljubinka Ilic</cp:lastModifiedBy>
  <cp:revision>5</cp:revision>
  <cp:lastPrinted>2017-12-22T12:41:00Z</cp:lastPrinted>
  <dcterms:created xsi:type="dcterms:W3CDTF">2018-12-03T11:28:00Z</dcterms:created>
  <dcterms:modified xsi:type="dcterms:W3CDTF">2018-12-12T13:21:00Z</dcterms:modified>
</cp:coreProperties>
</file>